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2981d1_8k.htm"/>
      <w:bookmarkStart w:id="1" w:name="kstm2622981d1_8k"/>
      <w:bookmarkEnd w:id="0"/>
      <w:bookmarkEnd w:id="1"/>
      <w:r>
        <w:rPr>
          <w:caps w:val="false"/>
          <w:smallCaps w:val="false"/>
        </w:rPr>
        <w:t> </w:t>
      </w:r>
    </w:p>
    <w:p>
      <w:pPr>
        <w:pStyle w:val="TextBody"/>
        <w:bidi w:val="0"/>
        <w:spacing w:before="6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sz w:val="24"/>
        </w:rPr>
        <w:t>Washington</w:t>
      </w:r>
      <w:r>
        <w:rPr>
          <w:rFonts w:ascii="Times New Roman;Times;Serif" w:hAnsi="Times New Roman;Times;Serif"/>
          <w:b/>
          <w:i w:val="false"/>
          <w:caps w:val="false"/>
          <w:smallCaps w:val="false"/>
          <w:sz w:val="24"/>
        </w:rPr>
        <w:t>, D.C. 20549</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9_edei--DocumentType_c20260813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i w:val="false"/>
          <w:caps w:val="false"/>
          <w:smallCaps w:val="false"/>
          <w:sz w:val="20"/>
        </w:rPr>
        <w:t>August 13, 2026</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48"/>
        </w:rPr>
      </w:pPr>
      <w:bookmarkStart w:id="4" w:name="xdx_907_edei--EntityRegistrantName_c2026"/>
      <w:bookmarkEnd w:id="4"/>
      <w:r>
        <w:rPr>
          <w:rFonts w:ascii="Times New Roman;Times;Serif" w:hAnsi="Times New Roman;Times;Serif"/>
          <w:b/>
          <w:i w:val="false"/>
          <w:caps w:val="false"/>
          <w:smallCaps w:val="false"/>
          <w:sz w:val="48"/>
        </w:rPr>
        <w:t>FS KKR Capital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tbl>
      <w:tblPr>
        <w:tblW w:w="4980" w:type="dxa"/>
        <w:jc w:val="left"/>
        <w:tblInd w:w="0" w:type="dxa"/>
        <w:tblLayout w:type="fixed"/>
        <w:tblCellMar>
          <w:top w:w="0" w:type="dxa"/>
          <w:left w:w="0" w:type="dxa"/>
          <w:bottom w:w="0" w:type="dxa"/>
          <w:right w:w="0" w:type="dxa"/>
        </w:tblCellMar>
      </w:tblPr>
      <w:tblGrid>
        <w:gridCol w:w="2270"/>
        <w:gridCol w:w="1145"/>
        <w:gridCol w:w="1565"/>
      </w:tblGrid>
      <w:tr>
        <w:trPr/>
        <w:tc>
          <w:tcPr>
            <w:tcW w:w="2270" w:type="dxa"/>
            <w:tcBorders/>
            <w:vAlign w:val="center"/>
          </w:tcPr>
          <w:p>
            <w:pPr>
              <w:pStyle w:val="TableContents"/>
              <w:bidi w:val="0"/>
              <w:spacing w:before="0" w:after="283"/>
              <w:jc w:val="center"/>
              <w:rPr>
                <w:b/>
                <w:sz w:val="20"/>
              </w:rPr>
            </w:pPr>
            <w:bookmarkStart w:id="5" w:name="xdx_90E_edei--EntityIncorporationStateCo"/>
            <w:bookmarkEnd w:id="5"/>
            <w:r>
              <w:rPr>
                <w:b/>
                <w:sz w:val="20"/>
              </w:rPr>
              <w:t>Maryland</w:t>
            </w:r>
          </w:p>
        </w:tc>
        <w:tc>
          <w:tcPr>
            <w:tcW w:w="1145" w:type="dxa"/>
            <w:tcBorders/>
            <w:vAlign w:val="center"/>
          </w:tcPr>
          <w:p>
            <w:pPr>
              <w:pStyle w:val="TableContents"/>
              <w:bidi w:val="0"/>
              <w:spacing w:before="0" w:after="283"/>
              <w:jc w:val="center"/>
              <w:rPr>
                <w:b/>
                <w:sz w:val="20"/>
              </w:rPr>
            </w:pPr>
            <w:bookmarkStart w:id="6" w:name="xdx_90C_edei--EntityFileNumber_c20260813"/>
            <w:bookmarkEnd w:id="6"/>
            <w:r>
              <w:rPr>
                <w:b/>
                <w:sz w:val="20"/>
              </w:rPr>
              <w:t>814-00757</w:t>
            </w:r>
          </w:p>
        </w:tc>
        <w:tc>
          <w:tcPr>
            <w:tcW w:w="1565" w:type="dxa"/>
            <w:tcBorders/>
            <w:vAlign w:val="center"/>
          </w:tcPr>
          <w:p>
            <w:pPr>
              <w:pStyle w:val="TableContents"/>
              <w:bidi w:val="0"/>
              <w:spacing w:before="0" w:after="283"/>
              <w:jc w:val="center"/>
              <w:rPr>
                <w:b/>
                <w:sz w:val="20"/>
              </w:rPr>
            </w:pPr>
            <w:bookmarkStart w:id="7" w:name="xdx_905_edei--EntityTaxIdentificationNum"/>
            <w:bookmarkEnd w:id="7"/>
            <w:r>
              <w:rPr>
                <w:b/>
                <w:sz w:val="20"/>
              </w:rPr>
              <w:t>26-1630040</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3290"/>
        <w:gridCol w:w="935"/>
      </w:tblGrid>
      <w:tr>
        <w:trPr/>
        <w:tc>
          <w:tcPr>
            <w:tcW w:w="32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 xml:space="preserve">3025 JFK Boulevard, </w:t>
            </w:r>
            <w:bookmarkStart w:id="9" w:name="xdx_903_edei--EntityAddressAddressLine2_"/>
            <w:bookmarkEnd w:id="9"/>
            <w:r>
              <w:rPr>
                <w:rFonts w:ascii="Times New Roman;Times;Serif" w:hAnsi="Times New Roman;Times;Serif"/>
                <w:b/>
                <w:i w:val="false"/>
                <w:caps w:val="false"/>
                <w:smallCaps w:val="false"/>
                <w:sz w:val="20"/>
              </w:rPr>
              <w:t>OFC 500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4_edei--EntityAddressCityOrTown_c2"/>
            <w:bookmarkEnd w:id="10"/>
            <w:r>
              <w:rPr>
                <w:rFonts w:ascii="Times New Roman;Times;Serif" w:hAnsi="Times New Roman;Times;Serif"/>
                <w:b/>
                <w:i w:val="false"/>
                <w:caps w:val="false"/>
                <w:smallCaps w:val="false"/>
                <w:sz w:val="20"/>
              </w:rPr>
              <w:t xml:space="preserve">Philadelphia, </w:t>
            </w:r>
            <w:bookmarkStart w:id="11" w:name="xdx_90D_edei--EntityAddressStateOrProvin"/>
            <w:bookmarkEnd w:id="11"/>
            <w:r>
              <w:rPr>
                <w:rFonts w:ascii="Times New Roman;Times;Serif" w:hAnsi="Times New Roman;Times;Serif"/>
                <w:b/>
                <w:i w:val="false"/>
                <w:caps w:val="false"/>
                <w:smallCaps w:val="false"/>
                <w:sz w:val="20"/>
              </w:rPr>
              <w:t>Pennsylvania</w:t>
            </w:r>
          </w:p>
        </w:tc>
        <w:tc>
          <w:tcPr>
            <w:tcW w:w="935" w:type="dxa"/>
            <w:tcBorders/>
            <w:vAlign w:val="center"/>
          </w:tcPr>
          <w:p>
            <w:pPr>
              <w:pStyle w:val="TableContents"/>
              <w:bidi w:val="0"/>
              <w:spacing w:before="0" w:after="283"/>
              <w:jc w:val="center"/>
              <w:rPr>
                <w:b/>
                <w:sz w:val="20"/>
              </w:rPr>
            </w:pPr>
            <w:bookmarkStart w:id="12" w:name="xdx_904_edei--EntityAddressPostalZipCode"/>
            <w:bookmarkEnd w:id="12"/>
            <w:r>
              <w:rPr>
                <w:b/>
                <w:sz w:val="20"/>
              </w:rPr>
              <w:t>19104</w:t>
            </w:r>
          </w:p>
        </w:tc>
      </w:tr>
      <w:tr>
        <w:trPr/>
        <w:tc>
          <w:tcPr>
            <w:tcW w:w="3290" w:type="dxa"/>
            <w:tcBorders/>
            <w:vAlign w:val="center"/>
          </w:tcPr>
          <w:p>
            <w:pPr>
              <w:pStyle w:val="TableContents"/>
              <w:bidi w:val="0"/>
              <w:spacing w:before="0" w:after="283"/>
              <w:jc w:val="center"/>
              <w:rPr>
                <w:b/>
                <w:sz w:val="20"/>
              </w:rPr>
            </w:pPr>
            <w:r>
              <w:rPr>
                <w:b/>
                <w:sz w:val="20"/>
              </w:rPr>
              <w:t>(Address of principal executive offices)</w:t>
            </w:r>
          </w:p>
        </w:tc>
        <w:tc>
          <w:tcPr>
            <w:tcW w:w="935" w:type="dxa"/>
            <w:tcBorders/>
            <w:vAlign w:val="center"/>
          </w:tcPr>
          <w:p>
            <w:pPr>
              <w:pStyle w:val="TableContents"/>
              <w:bidi w:val="0"/>
              <w:spacing w:before="0" w:after="283"/>
              <w:jc w:val="center"/>
              <w:rPr>
                <w:b/>
                <w:sz w:val="20"/>
              </w:rPr>
            </w:pPr>
            <w:r>
              <w:rPr>
                <w:b/>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A_edei--CityAreaCode_c20260813__20"/>
      <w:bookmarkEnd w:id="13"/>
      <w:r>
        <w:rPr>
          <w:rFonts w:ascii="Times New Roman;Times;Serif" w:hAnsi="Times New Roman;Times;Serif"/>
          <w:b/>
          <w:i w:val="false"/>
          <w:caps w:val="false"/>
          <w:smallCaps w:val="false"/>
          <w:sz w:val="20"/>
        </w:rPr>
        <w:t xml:space="preserve">215) </w:t>
      </w:r>
      <w:bookmarkStart w:id="14" w:name="xdx_903_edei--LocalPhoneNumber_c20260813"/>
      <w:bookmarkEnd w:id="14"/>
      <w:r>
        <w:rPr>
          <w:rFonts w:ascii="Times New Roman;Times;Serif" w:hAnsi="Times New Roman;Times;Serif"/>
          <w:b/>
          <w:i w:val="false"/>
          <w:caps w:val="false"/>
          <w:smallCaps w:val="false"/>
          <w:sz w:val="20"/>
        </w:rPr>
        <w:t>495-1150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5" w:name="xdx_90C_edei--WrittenCommunications_c202"/>
            <w:bookmarkEnd w:id="15"/>
            <w:r>
              <w:rPr/>
              <w:t>☐</w:t>
            </w:r>
          </w:p>
        </w:tc>
        <w:tc>
          <w:tcPr>
            <w:tcW w:w="9960" w:type="dxa"/>
            <w:tcBorders/>
            <w:vAlign w:val="center"/>
          </w:tcPr>
          <w:p>
            <w:pPr>
              <w:pStyle w:val="TableContents"/>
              <w:bidi w:val="0"/>
              <w:spacing w:before="0" w:after="283"/>
              <w:jc w:val="left"/>
              <w:rPr/>
            </w:pPr>
            <w:r>
              <w:rPr/>
              <w:t xml:space="preserve">Written communications pursuant to Rule 425 under the Securities Act (17 CFR 230.425) </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2_edei--SolicitingMaterial_c202608"/>
            <w:bookmarkEnd w:id="16"/>
            <w:r>
              <w:rPr/>
              <w:t>☐</w:t>
            </w:r>
          </w:p>
        </w:tc>
        <w:tc>
          <w:tcPr>
            <w:tcW w:w="9960" w:type="dxa"/>
            <w:tcBorders/>
            <w:vAlign w:val="center"/>
          </w:tcPr>
          <w:p>
            <w:pPr>
              <w:pStyle w:val="TableContents"/>
              <w:bidi w:val="0"/>
              <w:spacing w:before="0" w:after="283"/>
              <w:jc w:val="left"/>
              <w:rPr/>
            </w:pPr>
            <w:r>
              <w:rPr/>
              <w:t xml:space="preserve">Soliciting material pursuant to Rule 14a-12 under the Exchange Act (17 CFR 240.14a-12) </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E_edei--PreCommencementTenderOffer"/>
            <w:bookmarkEnd w:id="17"/>
            <w:r>
              <w:rPr/>
              <w:t>☐</w:t>
            </w:r>
          </w:p>
        </w:tc>
        <w:tc>
          <w:tcPr>
            <w:tcW w:w="9960" w:type="dxa"/>
            <w:tcBorders/>
            <w:vAlign w:val="center"/>
          </w:tcPr>
          <w:p>
            <w:pPr>
              <w:pStyle w:val="TableContents"/>
              <w:bidi w:val="0"/>
              <w:spacing w:before="0" w:after="283"/>
              <w:jc w:val="left"/>
              <w:rPr/>
            </w:pPr>
            <w:r>
              <w:rPr/>
              <w:t xml:space="preserve">Pre-commencement communications pursuant to Rule 14d-2(b) under the Exchange Act (17 CFR 240.14d-2(b)) </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3_edei--PreCommencementIssuerTende"/>
            <w:bookmarkEnd w:id="18"/>
            <w:r>
              <w:rPr/>
              <w:t>☐</w:t>
            </w:r>
          </w:p>
        </w:tc>
        <w:tc>
          <w:tcPr>
            <w:tcW w:w="9960" w:type="dxa"/>
            <w:tcBorders/>
            <w:vAlign w:val="center"/>
          </w:tcPr>
          <w:p>
            <w:pPr>
              <w:pStyle w:val="TableContents"/>
              <w:bidi w:val="0"/>
              <w:spacing w:before="0" w:after="283"/>
              <w:jc w:val="left"/>
              <w:rPr/>
            </w:pPr>
            <w:r>
              <w:rPr/>
              <w:t xml:space="preserve">Pre-commencement communications pursuant to Rule 13e-4(c) under the Exchange Act (17 CFR 240.13e-4(c))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645" w:type="dxa"/>
        <w:jc w:val="left"/>
        <w:tblInd w:w="0" w:type="dxa"/>
        <w:shd w:fill="FFFFFF" w:val="clear"/>
        <w:tblLayout w:type="fixed"/>
        <w:tblCellMar>
          <w:top w:w="0" w:type="dxa"/>
          <w:left w:w="0" w:type="dxa"/>
          <w:bottom w:w="28" w:type="dxa"/>
          <w:right w:w="0" w:type="dxa"/>
        </w:tblCellMar>
      </w:tblPr>
      <w:tblGrid>
        <w:gridCol w:w="1805"/>
        <w:gridCol w:w="60"/>
        <w:gridCol w:w="1925"/>
        <w:gridCol w:w="60"/>
        <w:gridCol w:w="2795"/>
      </w:tblGrid>
      <w:tr>
        <w:trPr/>
        <w:tc>
          <w:tcPr>
            <w:tcW w:w="1805" w:type="dxa"/>
            <w:tcBorders>
              <w:bottom w:val="single" w:sz="8" w:space="0" w:color="000000"/>
            </w:tcBorders>
            <w:shd w:fill="FFFFFF" w:val="clear"/>
            <w:vAlign w:val="center"/>
          </w:tcPr>
          <w:p>
            <w:pPr>
              <w:pStyle w:val="TableContents"/>
              <w:bidi w:val="0"/>
              <w:spacing w:before="0" w:after="283"/>
              <w:jc w:val="center"/>
              <w:rPr>
                <w:b/>
              </w:rPr>
            </w:pPr>
            <w:r>
              <w:rPr>
                <w:b/>
              </w:rPr>
              <w:t>Title of each class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bottom w:val="single" w:sz="8" w:space="0" w:color="000000"/>
            </w:tcBorders>
            <w:shd w:fill="FFFFFF" w:val="clear"/>
            <w:vAlign w:val="center"/>
          </w:tcPr>
          <w:p>
            <w:pPr>
              <w:pStyle w:val="TableContents"/>
              <w:bidi w:val="0"/>
              <w:spacing w:before="0" w:after="283"/>
              <w:jc w:val="center"/>
              <w:rPr>
                <w:b/>
              </w:rPr>
            </w:pPr>
            <w:r>
              <w:rPr>
                <w:b/>
              </w:rPr>
              <w:t>Trading Symbol(s)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95" w:type="dxa"/>
            <w:tcBorders>
              <w:bottom w:val="single" w:sz="8"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w:t>
              <w:br/>
              <w:t>on which registered</w:t>
            </w:r>
          </w:p>
        </w:tc>
      </w:tr>
      <w:tr>
        <w:trPr/>
        <w:tc>
          <w:tcPr>
            <w:tcW w:w="1805" w:type="dxa"/>
            <w:tcBorders/>
            <w:shd w:fill="FFFFFF" w:val="clear"/>
            <w:tcMar>
              <w:bottom w:w="0" w:type="dxa"/>
            </w:tcMar>
            <w:vAlign w:val="center"/>
          </w:tcPr>
          <w:p>
            <w:pPr>
              <w:pStyle w:val="TableContents"/>
              <w:bidi w:val="0"/>
              <w:spacing w:before="0" w:after="283"/>
              <w:jc w:val="center"/>
              <w:rPr>
                <w:b/>
              </w:rPr>
            </w:pPr>
            <w:bookmarkStart w:id="19" w:name="xdx_905_edei--Security12bTitle_c20260813"/>
            <w:bookmarkEnd w:id="19"/>
            <w:r>
              <w:rPr>
                <w:b/>
              </w:rPr>
              <w:t>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b/>
              </w:rPr>
            </w:pPr>
            <w:bookmarkStart w:id="20" w:name="xdx_902_edei--TradingSymbol_c20260813__2"/>
            <w:bookmarkEnd w:id="20"/>
            <w:r>
              <w:rPr>
                <w:b/>
              </w:rPr>
              <w:t>FSK</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95" w:type="dxa"/>
            <w:tcBorders/>
            <w:shd w:fill="FFFFFF" w:val="clear"/>
            <w:tcMar>
              <w:bottom w:w="0" w:type="dxa"/>
            </w:tcMar>
            <w:vAlign w:val="center"/>
          </w:tcPr>
          <w:p>
            <w:pPr>
              <w:pStyle w:val="TableContents"/>
              <w:bidi w:val="0"/>
              <w:spacing w:before="0" w:after="283"/>
              <w:jc w:val="center"/>
              <w:rPr>
                <w:b/>
              </w:rPr>
            </w:pPr>
            <w:bookmarkStart w:id="21" w:name="xdx_901_edei--SecurityExchangeName_c2026"/>
            <w:bookmarkEnd w:id="21"/>
            <w:r>
              <w:rPr>
                <w:b/>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bookmarkStart w:id="22" w:name="xdx_907_edei--EntityEmergingGrowthCompan"/>
      <w:bookmarkEnd w:id="22"/>
      <w:r>
        <w:rPr>
          <w:caps w:val="false"/>
          <w:smallCaps w:val="false"/>
        </w:rPr>
        <w:t>☐  </w:t>
      </w:r>
      <w:r>
        <w:rPr>
          <w:rFonts w:ascii="Times New Roman;Times;Serif" w:hAnsi="Times New Roman;Times;Serif"/>
          <w:b w:val="false"/>
          <w:i w:val="false"/>
          <w:caps w:val="false"/>
          <w:smallCaps w:val="false"/>
          <w:sz w:val="20"/>
        </w:rPr>
        <w:t>Emerging growth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160" w:type="dxa"/>
        <w:jc w:val="left"/>
        <w:tblInd w:w="0" w:type="dxa"/>
        <w:tblLayout w:type="fixed"/>
        <w:tblCellMar>
          <w:top w:w="0" w:type="dxa"/>
          <w:left w:w="0" w:type="dxa"/>
          <w:bottom w:w="0" w:type="dxa"/>
          <w:right w:w="0" w:type="dxa"/>
        </w:tblCellMar>
      </w:tblPr>
      <w:tblGrid>
        <w:gridCol w:w="875"/>
        <w:gridCol w:w="2285"/>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7.01.</w:t>
            </w:r>
          </w:p>
        </w:tc>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Regulation FD Disclosure.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FS KKR Capital Corp. (the “Company”) will make investor presentations available on its website after the market close on August 13, 2026.  The presentations will be found under the “Events &amp; Presentations” page within the “For Investors” section of the Company’s website (</w:t>
      </w:r>
      <w:r>
        <w:rPr>
          <w:rFonts w:ascii="Times New Roman;Times;Serif" w:hAnsi="Times New Roman;Times;Serif"/>
          <w:b w:val="false"/>
          <w:i/>
          <w:caps w:val="false"/>
          <w:smallCaps w:val="false"/>
          <w:sz w:val="20"/>
          <w:u w:val="single"/>
        </w:rPr>
        <w:t>www.fskkrcapitalcorp.com</w:t>
      </w:r>
      <w:r>
        <w:rPr>
          <w:rFonts w:ascii="Times New Roman;Times;Serif" w:hAnsi="Times New Roman;Times;Serif"/>
          <w:b w:val="false"/>
          <w:i w:val="false"/>
          <w:caps w:val="false"/>
          <w:smallCaps w:val="false"/>
          <w:sz w:val="20"/>
        </w:rPr>
        <w:t>). Except as may be required by federal securities laws, the Company undertakes no duty or obligation to update or revise the information contained in the presentations.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40" w:right="0" w:firstLine="62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in this Item 7.01 shall not be deemed to be “filed” for purposes of Section 18 of the Securities Exchange Act of 1934, as amended (the “Exchange Act”), or otherwise subject to the liabilities of that section, and is not incorporated by reference into any filing under the Securities Act of 1933, as amended, or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may contain certain forward-looking statements that are not historical facts, including, without limitation, statements with regard to future events or the future performance or financial condition of the Company. Words such as “anticipate,” “believe,” “expect,” “intend”, “project” and “future” or similar expressions indicate forward-looking statements, although not all forward-looking statements include these words. These forward-looking statements are not guarantees of performance or events and are subject to risks, uncertainties and other factors, some of which are beyond the Company’s control and difficult to predict and could cause actual results or future events to differ materially from those expressed or forecasted in the forward-looking statements for any reason, including those factors set forth in “Item 1A. Risk Factors” in the Company’s most recent Annual Report on Form 10-K and subsequent filings. These forward-looking statements are subject to the inherent uncertainties in predicting future results and conditions. Certain factors could cause actual results or future events to differ materially from those projected in these forward-looking statements. Factors that could cause actual results or future events to differ materially include, without limitation, changes in the economy, geo-political risks, risks associated with possible disruption in the Company’s operations or the economy generally due to terrorism, natural disasters or pandemics, future changes in laws or regulations and conditions in the Company’s operating area, and the price at which shares of common stock may trade on the New York Stock Exchange. Some of these factors are enumerated in the filings the Company makes with the Securities and Exchange Commission. The Company has based the forward-looking statements included herein on information available to the Company on the date hereof. Except as required by federal securities laws, the Company undertakes no obligation to update or revise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SIGNATURE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firstLine="490"/>
        <w:jc w:val="left"/>
        <w:rPr>
          <w:caps w:val="false"/>
          <w:smallCaps w:val="false"/>
        </w:rPr>
      </w:pPr>
      <w:r>
        <w:rPr>
          <w:caps w:val="false"/>
          <w:smallCaps w:val="false"/>
        </w:rPr>
        <w:t> </w:t>
      </w:r>
    </w:p>
    <w:tbl>
      <w:tblPr>
        <w:tblW w:w="4710" w:type="dxa"/>
        <w:jc w:val="left"/>
        <w:tblInd w:w="0" w:type="dxa"/>
        <w:tblLayout w:type="fixed"/>
        <w:tblCellMar>
          <w:top w:w="0" w:type="dxa"/>
          <w:left w:w="0" w:type="dxa"/>
          <w:bottom w:w="0" w:type="dxa"/>
          <w:right w:w="0" w:type="dxa"/>
        </w:tblCellMar>
      </w:tblPr>
      <w:tblGrid>
        <w:gridCol w:w="1865"/>
        <w:gridCol w:w="320"/>
        <w:gridCol w:w="2525"/>
      </w:tblGrid>
      <w:tr>
        <w:trPr/>
        <w:tc>
          <w:tcPr>
            <w:tcW w:w="1865" w:type="dxa"/>
            <w:tcBorders/>
            <w:vAlign w:val="center"/>
          </w:tcPr>
          <w:p>
            <w:pPr>
              <w:pStyle w:val="TableContents"/>
              <w:bidi w:val="0"/>
              <w:spacing w:before="0" w:after="283"/>
              <w:jc w:val="left"/>
              <w:rPr/>
            </w:pPr>
            <w:r>
              <w:rPr/>
              <w:t> </w:t>
            </w:r>
          </w:p>
        </w:tc>
        <w:tc>
          <w:tcPr>
            <w:tcW w:w="284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FS KKR Capital Corp.</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13,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Stephen Sypherd</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Stephen Sypherd</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Counsel and Secretary</w:t>
            </w:r>
          </w:p>
        </w:tc>
      </w:tr>
    </w:tbl>
    <w:p>
      <w:pPr>
        <w:pStyle w:val="TextBody"/>
        <w:bidi w:val="0"/>
        <w:spacing w:before="0" w:after="0"/>
        <w:ind w:left="0" w:right="0" w:hanging="0"/>
        <w:jc w:val="center"/>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794</Words>
  <Characters>4496</Characters>
  <CharactersWithSpaces>5299</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