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688340</wp:posOffset>
            </wp:positionH>
            <wp:positionV relativeFrom="page">
              <wp:posOffset>166370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226060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73025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5)</w:t>
      </w:r>
    </w:p>
    <w:p>
      <w:pPr>
        <w:spacing w:after="0" w:line="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Tender Offer Statement Pursuant to Section 14(d)(1) or 13(e)(1)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108585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8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FS KKR Capital Corp.</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14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KKR Alternative Assets L.P.</w:t>
      </w:r>
    </w:p>
    <w:p>
      <w:pPr>
        <w:spacing w:after="0" w:line="6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KKR Alternative Assets Limited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Filing Person (Offeror))</w:t>
      </w:r>
    </w:p>
    <w:p>
      <w:pPr>
        <w:spacing w:after="0" w:line="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12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302635206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13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Noah Greenhill, Esq.</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KKR Alternative Assets L.P.</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30 Hudson Yards</w:t>
      </w:r>
    </w:p>
    <w:p>
      <w:pPr>
        <w:spacing w:after="0" w:line="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(212) 750-8300</w:t>
      </w:r>
    </w:p>
    <w:p>
      <w:pPr>
        <w:spacing w:after="0" w:line="135" w:lineRule="exact"/>
        <w:rPr>
          <w:sz w:val="24"/>
          <w:szCs w:val="24"/>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78105</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Kenneth Wallach, Esq.</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Lesley Peng, Esq.</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Patrick Baron, Esq.</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Simpson Thacher &amp; Bartlett LLP</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425 Lexington Avenue</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9" w:lineRule="exact"/>
        <w:rPr>
          <w:sz w:val="24"/>
          <w:szCs w:val="24"/>
          <w:color w:val="auto"/>
        </w:rPr>
      </w:pPr>
    </w:p>
    <w:p>
      <w:pPr>
        <w:ind w:left="4740" w:hanging="438"/>
        <w:spacing w:after="0"/>
        <w:tabs>
          <w:tab w:leader="none" w:pos="47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455-2000</w:t>
      </w:r>
    </w:p>
    <w:p>
      <w:pPr>
        <w:spacing w:after="0" w:line="9" w:lineRule="exact"/>
        <w:rPr>
          <w:rFonts w:ascii="Times New Roman" w:cs="Times New Roman" w:eastAsia="Times New Roman" w:hAnsi="Times New Roman"/>
          <w:sz w:val="18"/>
          <w:szCs w:val="18"/>
          <w:b w:val="1"/>
          <w:bCs w:val="1"/>
          <w:color w:val="auto"/>
        </w:rPr>
      </w:pPr>
    </w:p>
    <w:p>
      <w:pPr>
        <w:ind w:left="4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92710</wp:posOffset>
            </wp:positionV>
            <wp:extent cx="1097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69" w:lineRule="exact"/>
        <w:rPr>
          <w:sz w:val="24"/>
          <w:szCs w:val="24"/>
          <w:color w:val="auto"/>
        </w:rPr>
      </w:pPr>
    </w:p>
    <w:p>
      <w:pPr>
        <w:ind w:left="440" w:right="460" w:hanging="432"/>
        <w:spacing w:after="0" w:line="268" w:lineRule="auto"/>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1" w:lineRule="exact"/>
        <w:rPr>
          <w:rFonts w:ascii="MS PGothic" w:cs="MS PGothic" w:eastAsia="MS PGothic" w:hAnsi="MS PGothic"/>
          <w:sz w:val="18"/>
          <w:szCs w:val="18"/>
          <w:color w:val="auto"/>
        </w:rPr>
      </w:pPr>
    </w:p>
    <w:p>
      <w:pPr>
        <w:ind w:left="860" w:hanging="424"/>
        <w:spacing w:after="0"/>
        <w:tabs>
          <w:tab w:leader="none" w:pos="8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37" w:lineRule="exact"/>
        <w:rPr>
          <w:rFonts w:ascii="MS PGothic" w:cs="MS PGothic" w:eastAsia="MS PGothic" w:hAnsi="MS PGothic"/>
          <w:sz w:val="18"/>
          <w:szCs w:val="18"/>
          <w:color w:val="auto"/>
        </w:rPr>
      </w:pPr>
    </w:p>
    <w:p>
      <w:pPr>
        <w:ind w:left="860" w:hanging="420"/>
        <w:spacing w:after="0"/>
        <w:tabs>
          <w:tab w:leader="none" w:pos="860" w:val="left"/>
        </w:tabs>
        <w:numPr>
          <w:ilvl w:val="2"/>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22" w:lineRule="exact"/>
        <w:rPr>
          <w:rFonts w:ascii="MS PGothic" w:cs="MS PGothic" w:eastAsia="MS PGothic" w:hAnsi="MS PGothic"/>
          <w:sz w:val="18"/>
          <w:szCs w:val="18"/>
          <w:color w:val="auto"/>
        </w:rPr>
      </w:pPr>
    </w:p>
    <w:p>
      <w:pPr>
        <w:ind w:left="860" w:hanging="420"/>
        <w:spacing w:after="0"/>
        <w:tabs>
          <w:tab w:leader="none" w:pos="860" w:val="left"/>
        </w:tabs>
        <w:numPr>
          <w:ilvl w:val="2"/>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 private transaction subject to Rule 13e-3</w:t>
      </w:r>
    </w:p>
    <w:p>
      <w:pPr>
        <w:spacing w:after="0" w:line="22" w:lineRule="exact"/>
        <w:rPr>
          <w:rFonts w:ascii="MS PGothic" w:cs="MS PGothic" w:eastAsia="MS PGothic" w:hAnsi="MS PGothic"/>
          <w:sz w:val="18"/>
          <w:szCs w:val="18"/>
          <w:color w:val="auto"/>
        </w:rPr>
      </w:pPr>
    </w:p>
    <w:p>
      <w:pPr>
        <w:ind w:left="860" w:hanging="420"/>
        <w:spacing w:after="0"/>
        <w:tabs>
          <w:tab w:leader="none" w:pos="860" w:val="left"/>
        </w:tabs>
        <w:numPr>
          <w:ilvl w:val="2"/>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6"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7" w:lineRule="exact"/>
        <w:rPr>
          <w:sz w:val="24"/>
          <w:szCs w:val="24"/>
          <w:color w:val="auto"/>
        </w:rPr>
      </w:pPr>
    </w:p>
    <w:p>
      <w:pPr>
        <w:ind w:left="860" w:hanging="420"/>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37" w:lineRule="exact"/>
        <w:rPr>
          <w:rFonts w:ascii="MS PGothic" w:cs="MS PGothic" w:eastAsia="MS PGothic" w:hAnsi="MS PGothic"/>
          <w:sz w:val="18"/>
          <w:szCs w:val="18"/>
          <w:color w:val="auto"/>
        </w:rPr>
      </w:pPr>
    </w:p>
    <w:p>
      <w:pPr>
        <w:ind w:left="860" w:hanging="420"/>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175895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236220</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364490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516" w:right="1099"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8"/>
          <w:szCs w:val="18"/>
          <w:color w:val="auto"/>
        </w:rPr>
        <w:t>This Amendment No. 5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amends and supplements the Tender Offer Statement on Schedule TO</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originally filed by KKR Alternative Assets L.P., a Delaware limited partnership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on May 12,</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2026, as amended by Amendment No. 1 filed on May 22, 2026, Amendment No. 2 filed on June 2,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Amendment No. 3 filed on June 5, 2026 and Amendment No. 4 filed on June 12, 2026 (as amended,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in connection with the Purchaser’s offer to purchase up to $150,000,000 in aggregate amount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of common stock, par value $0.001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FS KKR Capital Corp., a Maryland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corporation, at a price equal to $11.00 per share, less any applicable withholding taxes and without interest, upon the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terms and subject to the conditions set forth in the Offer to Purchase dated May 12, 2026, as amended by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Amendment No. 1 to the Schedule TO, Amendment No. 2 to the Schedule TO and Amendment No. 3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Schedule TO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which was previously filed with the Schedule TO as Exhibit (a)(1)(A),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the related Letter of Transmittal, as amended by Amendment No. 3 to the Schedule TO (the “</w:t>
      </w:r>
      <w:r>
        <w:rPr>
          <w:rFonts w:ascii="Times New Roman" w:cs="Times New Roman" w:eastAsia="Times New Roman" w:hAnsi="Times New Roman"/>
          <w:sz w:val="18"/>
          <w:szCs w:val="18"/>
          <w:b w:val="1"/>
          <w:bCs w:val="1"/>
          <w:color w:val="auto"/>
        </w:rPr>
        <w:t>Letter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Transmittal</w:t>
      </w:r>
      <w:r>
        <w:rPr>
          <w:rFonts w:ascii="Times New Roman" w:cs="Times New Roman" w:eastAsia="Times New Roman" w:hAnsi="Times New Roman"/>
          <w:sz w:val="18"/>
          <w:szCs w:val="18"/>
          <w:color w:val="auto"/>
        </w:rPr>
        <w:t>”), which was previously filed with the Schedule TO as Exhibit (a)(1)(B), which, together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Amendment No. 1 to the Schedule TO, Amendment No. 2 to the Schedule TO, Amendment No. 3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Schedule TO, Amendment No. 4 to the Schedule TO and this Amendment collectively constitute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300" w:right="1039"/>
        <w:spacing w:after="0" w:line="312" w:lineRule="auto"/>
        <w:rPr>
          <w:sz w:val="20"/>
          <w:szCs w:val="20"/>
          <w:color w:val="auto"/>
        </w:rPr>
      </w:pPr>
      <w:r>
        <w:rPr>
          <w:rFonts w:ascii="Times New Roman" w:cs="Times New Roman" w:eastAsia="Times New Roman" w:hAnsi="Times New Roman"/>
          <w:sz w:val="17"/>
          <w:szCs w:val="17"/>
          <w:color w:val="auto"/>
        </w:rPr>
        <w:t>KKR Alternative Assets Limited, the general partner of the Purchaser, is being named as a bidder in in this Amendment because it is deemed to control the Purchaser, but otherwise is not participating in the Offer.</w:t>
      </w:r>
    </w:p>
    <w:p>
      <w:pPr>
        <w:spacing w:after="0" w:line="32"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Except as otherwise set forth in this Amendment, the information set forth in the Schedule TO remains unchanged and is incorporated herein by reference to the extent relevant to the Items in this Amendment. This Amendment should be read together with the Schedule TO. Capitalized terms used and not otherwise defined in this Amendment shall have the meanings assigned to such terms in the Schedule TO and the Offer to Purchase.</w:t>
      </w:r>
    </w:p>
    <w:p>
      <w:pPr>
        <w:spacing w:after="0" w:line="176"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11.</w:t>
        <w:tab/>
        <w:t>Additional Information.</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disclosure in Item 11 of the Schedule TO is hereby amended and supplemented as follows:</w:t>
      </w:r>
    </w:p>
    <w:p>
      <w:pPr>
        <w:spacing w:after="0" w:line="117" w:lineRule="exact"/>
        <w:rPr>
          <w:sz w:val="20"/>
          <w:szCs w:val="20"/>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received the final results of the Offer, which expired at 11:59 p.m., New York City time, on June 11, 2026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1000" w:right="89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accepted for purchase 13,636,363 Shares validly tendered and received, and not properly withdrawn at or before the Expiration Date, at a purchase price of $11.00 per Share for an aggregate purchase price of $149,999,993, excluding fees and expenses relating to the Offer.</w:t>
      </w:r>
    </w:p>
    <w:p>
      <w:pPr>
        <w:spacing w:after="0" w:line="6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Offer was oversubscribed, the Purchaser accepted the Shares on a pro rata basis and has been informed by the Depositary that the final proration factor for the Offer is 75.779%.</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2" w:name="page3"/>
    <w:bookmarkEnd w:id="2"/>
    <w:tbl>
      <w:tblPr>
        <w:tblLayout w:type="fixed"/>
        <w:tblInd w:w="300" w:type="dxa"/>
        <w:tblCellMar>
          <w:top w:w="0" w:type="dxa"/>
          <w:left w:w="0" w:type="dxa"/>
          <w:bottom w:w="0" w:type="dxa"/>
          <w:right w:w="0" w:type="dxa"/>
        </w:tblCellMar>
      </w:tblPr>
      <w:tr>
        <w:trPr>
          <w:trHeight w:val="238"/>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121"/>
        </w:trPr>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560" w:type="dxa"/>
            <w:vAlign w:val="bottom"/>
          </w:tcPr>
          <w:p>
            <w:pPr>
              <w:spacing w:after="0"/>
              <w:rPr>
                <w:sz w:val="10"/>
                <w:szCs w:val="10"/>
                <w:color w:val="auto"/>
              </w:rPr>
            </w:pPr>
          </w:p>
        </w:tc>
      </w:tr>
      <w:tr>
        <w:trPr>
          <w:trHeight w:val="283"/>
        </w:trPr>
        <w:tc>
          <w:tcPr>
            <w:tcW w:w="860" w:type="dxa"/>
            <w:vAlign w:val="bottom"/>
            <w:gridSpan w:val="3"/>
            <w:shd w:val="clear" w:color="auto" w:fill="CCEEFF"/>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(a)(1)(A)</w:t>
              </w:r>
            </w:hyperlink>
          </w:p>
        </w:tc>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Offer to Purchase (incorporated by reference to Exhibit (a)(1)(A) to the Schedule TO-T filed by the</w:t>
            </w:r>
          </w:p>
        </w:tc>
      </w:tr>
      <w:tr>
        <w:trPr>
          <w:trHeight w:val="250"/>
        </w:trPr>
        <w:tc>
          <w:tcPr>
            <w:tcW w:w="64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75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Purchaser on May 12, 2026).</w:t>
            </w:r>
          </w:p>
        </w:tc>
      </w:tr>
      <w:tr>
        <w:trPr>
          <w:trHeight w:val="189"/>
        </w:trPr>
        <w:tc>
          <w:tcPr>
            <w:tcW w:w="860" w:type="dxa"/>
            <w:vAlign w:val="bottom"/>
            <w:gridSpan w:val="3"/>
          </w:tcPr>
          <w:p>
            <w:pPr>
              <w:spacing w:after="0" w:line="189"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(a)(1)(B)</w:t>
              </w:r>
            </w:hyperlink>
          </w:p>
        </w:tc>
        <w:tc>
          <w:tcPr>
            <w:tcW w:w="75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Letter of Transmittal (including Internal Revenue Service Form W-9) (incorporated by reference to</w:t>
            </w:r>
          </w:p>
        </w:tc>
      </w:tr>
      <w:tr>
        <w:trPr>
          <w:trHeight w:val="243"/>
        </w:trPr>
        <w:tc>
          <w:tcPr>
            <w:tcW w:w="64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Exhibit (a)(1)(B) to the Schedule TO-T filed by the Purchaser on May 12, 2026).</w:t>
            </w:r>
          </w:p>
        </w:tc>
      </w:tr>
      <w:tr>
        <w:trPr>
          <w:trHeight w:val="196"/>
        </w:trPr>
        <w:tc>
          <w:tcPr>
            <w:tcW w:w="860" w:type="dxa"/>
            <w:vAlign w:val="bottom"/>
            <w:gridSpan w:val="3"/>
            <w:shd w:val="clear" w:color="auto" w:fill="CCEEFF"/>
          </w:tcPr>
          <w:p>
            <w:pPr>
              <w:spacing w:after="0" w:line="195"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(a)(1)(C)</w:t>
              </w:r>
            </w:hyperlink>
          </w:p>
        </w:tc>
        <w:tc>
          <w:tcPr>
            <w:tcW w:w="7560" w:type="dxa"/>
            <w:vAlign w:val="bottom"/>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rPr>
              <w:t>Press Release issued by the Purchaser on May 11, 2026 (incorporated by reference to Exhibit 99.1 to</w:t>
            </w:r>
          </w:p>
        </w:tc>
      </w:tr>
      <w:tr>
        <w:trPr>
          <w:trHeight w:val="250"/>
        </w:trPr>
        <w:tc>
          <w:tcPr>
            <w:tcW w:w="64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75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Schedule TO-C filed by the Purchaser on May 11, 2026).</w:t>
            </w:r>
          </w:p>
        </w:tc>
      </w:tr>
      <w:tr>
        <w:trPr>
          <w:trHeight w:val="189"/>
        </w:trPr>
        <w:tc>
          <w:tcPr>
            <w:tcW w:w="860" w:type="dxa"/>
            <w:vAlign w:val="bottom"/>
            <w:gridSpan w:val="3"/>
          </w:tcPr>
          <w:p>
            <w:pPr>
              <w:spacing w:after="0" w:line="189"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(a)(1)(D)</w:t>
              </w:r>
            </w:hyperlink>
          </w:p>
        </w:tc>
        <w:tc>
          <w:tcPr>
            <w:tcW w:w="75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Summary Advertisement as published in The Wall Street Journal on May 12, 2026 (incorporated by</w:t>
            </w:r>
          </w:p>
        </w:tc>
      </w:tr>
      <w:tr>
        <w:trPr>
          <w:trHeight w:val="237"/>
        </w:trPr>
        <w:tc>
          <w:tcPr>
            <w:tcW w:w="6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reference to Exhibit (a)(1)(D) to the Schedule TO-T filed by the Purchaser on May 12, 2026).</w:t>
            </w:r>
          </w:p>
        </w:tc>
      </w:tr>
    </w:tbl>
    <w:p>
      <w:pPr>
        <w:spacing w:after="0" w:line="9" w:lineRule="exact"/>
        <w:rPr>
          <w:sz w:val="20"/>
          <w:szCs w:val="20"/>
          <w:color w:val="auto"/>
        </w:rPr>
      </w:pPr>
    </w:p>
    <w:p>
      <w:pPr>
        <w:ind w:left="1380" w:hanging="1088"/>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3"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740" w:type="dxa"/>
            <w:vAlign w:val="bottom"/>
            <w:gridSpan w:val="2"/>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(d)(1)</w:t>
              </w:r>
            </w:hyperlink>
          </w:p>
        </w:tc>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Agreement, dated May 10, 2026, by and between the Purchaser and the Company</w:t>
            </w:r>
          </w:p>
        </w:tc>
      </w:tr>
      <w:tr>
        <w:trPr>
          <w:trHeight w:val="218"/>
        </w:trPr>
        <w:tc>
          <w:tcPr>
            <w:tcW w:w="42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Current Report on Form 8-K filed on</w:t>
            </w:r>
          </w:p>
        </w:tc>
      </w:tr>
      <w:tr>
        <w:trPr>
          <w:trHeight w:val="241"/>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11, 2026).</w:t>
            </w:r>
          </w:p>
        </w:tc>
      </w:tr>
      <w:tr>
        <w:trPr>
          <w:trHeight w:val="196"/>
        </w:trPr>
        <w:tc>
          <w:tcPr>
            <w:tcW w:w="740" w:type="dxa"/>
            <w:vAlign w:val="bottom"/>
            <w:gridSpan w:val="2"/>
            <w:shd w:val="clear" w:color="auto" w:fill="CCEEFF"/>
          </w:tcPr>
          <w:p>
            <w:pPr>
              <w:spacing w:after="0" w:line="195"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(d)(2)</w:t>
              </w:r>
            </w:hyperlink>
          </w:p>
        </w:tc>
        <w:tc>
          <w:tcPr>
            <w:tcW w:w="768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Form of Equity Distribution Agreement (incorporated by reference to Exhibit 10.23 to the</w:t>
            </w:r>
          </w:p>
        </w:tc>
      </w:tr>
      <w:tr>
        <w:trPr>
          <w:trHeight w:val="218"/>
        </w:trPr>
        <w:tc>
          <w:tcPr>
            <w:tcW w:w="42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Company’s Annual Report on Form 10-K for the fiscal year ended December 31, 2025 filed on</w:t>
            </w:r>
          </w:p>
        </w:tc>
      </w:tr>
      <w:tr>
        <w:trPr>
          <w:trHeight w:val="248"/>
        </w:trPr>
        <w:tc>
          <w:tcPr>
            <w:tcW w:w="4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February 25, 2026).</w:t>
            </w:r>
          </w:p>
        </w:tc>
      </w:tr>
      <w:tr>
        <w:trPr>
          <w:trHeight w:val="189"/>
        </w:trPr>
        <w:tc>
          <w:tcPr>
            <w:tcW w:w="740" w:type="dxa"/>
            <w:vAlign w:val="bottom"/>
            <w:gridSpan w:val="2"/>
          </w:tcPr>
          <w:p>
            <w:pPr>
              <w:spacing w:after="0" w:line="189"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(d)(3)</w:t>
              </w:r>
            </w:hyperlink>
          </w:p>
        </w:tc>
        <w:tc>
          <w:tcPr>
            <w:tcW w:w="768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Amended and Restated Investment Advisory Agreement, dated as of June 16, 2021, by and between</w:t>
            </w:r>
          </w:p>
        </w:tc>
      </w:tr>
      <w:tr>
        <w:trPr>
          <w:trHeight w:val="218"/>
        </w:trPr>
        <w:tc>
          <w:tcPr>
            <w:tcW w:w="42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Company and the Adviser (incorporated by reference to Exhibit 10.1 to the Company’s Annual</w:t>
            </w:r>
          </w:p>
        </w:tc>
      </w:tr>
      <w:tr>
        <w:trPr>
          <w:trHeight w:val="241"/>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Report on Form 10-K for the fiscal year ended December 31, 2025 filed on February 25, 2026).</w:t>
            </w:r>
          </w:p>
        </w:tc>
      </w:tr>
      <w:tr>
        <w:trPr>
          <w:trHeight w:val="196"/>
        </w:trPr>
        <w:tc>
          <w:tcPr>
            <w:tcW w:w="740" w:type="dxa"/>
            <w:vAlign w:val="bottom"/>
            <w:gridSpan w:val="2"/>
            <w:shd w:val="clear" w:color="auto" w:fill="CCEEFF"/>
          </w:tcPr>
          <w:p>
            <w:pPr>
              <w:spacing w:after="0" w:line="195"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(d)(4)</w:t>
              </w:r>
            </w:hyperlink>
          </w:p>
        </w:tc>
        <w:tc>
          <w:tcPr>
            <w:tcW w:w="768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Administration Agreement, dated as of April 9, 2018, by and between the Company and the Adviser</w:t>
            </w:r>
          </w:p>
        </w:tc>
      </w:tr>
      <w:tr>
        <w:trPr>
          <w:trHeight w:val="218"/>
        </w:trPr>
        <w:tc>
          <w:tcPr>
            <w:tcW w:w="42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(incorporated by reference to Exhibit 10.2 to the Company’s Annual Report on Form 10-K for the</w:t>
            </w:r>
          </w:p>
        </w:tc>
      </w:tr>
      <w:tr>
        <w:trPr>
          <w:trHeight w:val="248"/>
        </w:trPr>
        <w:tc>
          <w:tcPr>
            <w:tcW w:w="4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fiscal year ended December 31, 2025 filed on February 25, 2026).</w:t>
            </w:r>
          </w:p>
        </w:tc>
      </w:tr>
      <w:tr>
        <w:trPr>
          <w:trHeight w:val="189"/>
        </w:trPr>
        <w:tc>
          <w:tcPr>
            <w:tcW w:w="740" w:type="dxa"/>
            <w:vAlign w:val="bottom"/>
            <w:gridSpan w:val="2"/>
          </w:tcPr>
          <w:p>
            <w:pPr>
              <w:spacing w:after="0" w:line="189"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(d)(5)</w:t>
              </w:r>
            </w:hyperlink>
          </w:p>
        </w:tc>
        <w:tc>
          <w:tcPr>
            <w:tcW w:w="768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Amendment No. 1 to Third Amended and Restated Senior Secured Revolving Credit Agreement,</w:t>
            </w:r>
          </w:p>
        </w:tc>
      </w:tr>
      <w:tr>
        <w:trPr>
          <w:trHeight w:val="218"/>
        </w:trPr>
        <w:tc>
          <w:tcPr>
            <w:tcW w:w="42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dated as of May 8, 2026, by and among the Company, JPMorgan Chase Bank, N.A. and each of the</w:t>
            </w:r>
          </w:p>
        </w:tc>
      </w:tr>
      <w:tr>
        <w:trPr>
          <w:trHeight w:val="216"/>
        </w:trPr>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lenders party thereto (incorporated by reference to Exhibit 10.1 to the Company’s Quarterly Report</w:t>
            </w:r>
          </w:p>
        </w:tc>
      </w:tr>
      <w:tr>
        <w:trPr>
          <w:trHeight w:val="241"/>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 Form 10-Q for the quarter ended March 31, 2026 filed on May 11, 2026).</w:t>
            </w:r>
          </w:p>
        </w:tc>
      </w:tr>
      <w:tr>
        <w:trPr>
          <w:trHeight w:val="196"/>
        </w:trPr>
        <w:tc>
          <w:tcPr>
            <w:tcW w:w="740" w:type="dxa"/>
            <w:vAlign w:val="bottom"/>
            <w:gridSpan w:val="2"/>
            <w:shd w:val="clear" w:color="auto" w:fill="CCEEFF"/>
          </w:tcPr>
          <w:p>
            <w:pPr>
              <w:spacing w:after="0" w:line="195"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(d)(6)</w:t>
              </w:r>
            </w:hyperlink>
          </w:p>
        </w:tc>
        <w:tc>
          <w:tcPr>
            <w:tcW w:w="768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Underwriting Agreement, dated June 1, 2026, by and among the Company, the Adviser and BofA</w:t>
            </w:r>
          </w:p>
        </w:tc>
      </w:tr>
      <w:tr>
        <w:trPr>
          <w:trHeight w:val="218"/>
        </w:trPr>
        <w:tc>
          <w:tcPr>
            <w:tcW w:w="42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Securities, Inc., BMO Capital Markets Corp., J.P. Morgan Securities LLC, KKR Capital Markets</w:t>
            </w:r>
          </w:p>
        </w:tc>
      </w:tr>
      <w:tr>
        <w:trPr>
          <w:trHeight w:val="216"/>
        </w:trPr>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LLC, RBC Capital Markets, LLC and SMBC Nikko Securities America, Inc., as representatives of</w:t>
            </w:r>
          </w:p>
        </w:tc>
      </w:tr>
      <w:tr>
        <w:trPr>
          <w:trHeight w:val="216"/>
        </w:trPr>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 underwriters named in Schedule A thereto (incorporated by reference to Exhibit 1.1 to the</w:t>
            </w:r>
          </w:p>
        </w:tc>
      </w:tr>
      <w:tr>
        <w:trPr>
          <w:trHeight w:val="248"/>
        </w:trPr>
        <w:tc>
          <w:tcPr>
            <w:tcW w:w="4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Company’s Current Report on Form 8-K filed on June 2, 2026).</w:t>
            </w:r>
          </w:p>
        </w:tc>
      </w:tr>
    </w:tbl>
    <w:p>
      <w:pPr>
        <w:ind w:left="1380" w:hanging="1088"/>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31" w:lineRule="exact"/>
        <w:rPr>
          <w:rFonts w:ascii="Times New Roman" w:cs="Times New Roman" w:eastAsia="Times New Roman" w:hAnsi="Times New Roman"/>
          <w:sz w:val="18"/>
          <w:szCs w:val="18"/>
          <w:color w:val="auto"/>
        </w:rPr>
      </w:pPr>
    </w:p>
    <w:p>
      <w:pPr>
        <w:ind w:left="1380" w:hanging="1088"/>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5349240" cy="17970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 June 15, 2026</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KKR Alternative Assets L.P.</w:t>
      </w:r>
    </w:p>
    <w:p>
      <w:pPr>
        <w:spacing w:after="0" w:line="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KKR Alternative Assets Limited, its general partner</w:t>
      </w:r>
    </w:p>
    <w:p>
      <w:pPr>
        <w:spacing w:after="0" w:line="279" w:lineRule="exact"/>
        <w:rPr>
          <w:sz w:val="20"/>
          <w:szCs w:val="20"/>
          <w:color w:val="auto"/>
        </w:rPr>
      </w:pPr>
    </w:p>
    <w:p>
      <w:pPr>
        <w:ind w:left="300"/>
        <w:spacing w:after="0"/>
        <w:tabs>
          <w:tab w:leader="none" w:pos="740" w:val="left"/>
        </w:tabs>
        <w:rPr>
          <w:sz w:val="20"/>
          <w:szCs w:val="20"/>
          <w:color w:val="auto"/>
        </w:rPr>
      </w:pPr>
      <w:r>
        <w:rPr>
          <w:rFonts w:ascii="Times New Roman" w:cs="Times New Roman" w:eastAsia="Times New Roman" w:hAnsi="Times New Roman"/>
          <w:sz w:val="18"/>
          <w:szCs w:val="18"/>
          <w:color w:val="auto"/>
        </w:rPr>
        <w:t>By:</w:t>
        <w:tab/>
        <w:t>/s/ Noah Greenhill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34290</wp:posOffset>
            </wp:positionV>
            <wp:extent cx="24003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57" w:lineRule="exact"/>
        <w:rPr>
          <w:sz w:val="20"/>
          <w:szCs w:val="20"/>
          <w:color w:val="auto"/>
        </w:rPr>
      </w:pPr>
    </w:p>
    <w:p>
      <w:pPr>
        <w:ind w:left="760"/>
        <w:spacing w:after="0"/>
        <w:tabs>
          <w:tab w:leader="none" w:pos="1440" w:val="left"/>
        </w:tabs>
        <w:rPr>
          <w:sz w:val="20"/>
          <w:szCs w:val="20"/>
          <w:color w:val="auto"/>
        </w:rPr>
      </w:pPr>
      <w:r>
        <w:rPr>
          <w:rFonts w:ascii="Times New Roman" w:cs="Times New Roman" w:eastAsia="Times New Roman" w:hAnsi="Times New Roman"/>
          <w:sz w:val="18"/>
          <w:szCs w:val="18"/>
          <w:color w:val="auto"/>
        </w:rPr>
        <w:t>Name:</w:t>
        <w:tab/>
        <w:t>Noah Greenhill</w:t>
      </w:r>
    </w:p>
    <w:p>
      <w:pPr>
        <w:spacing w:after="0" w:line="36" w:lineRule="exact"/>
        <w:rPr>
          <w:sz w:val="20"/>
          <w:szCs w:val="20"/>
          <w:color w:val="auto"/>
        </w:rPr>
      </w:pPr>
    </w:p>
    <w:p>
      <w:pPr>
        <w:ind w:left="760"/>
        <w:spacing w:after="0"/>
        <w:tabs>
          <w:tab w:leader="none" w:pos="1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KKR Alternative Assets Limited</w:t>
      </w:r>
    </w:p>
    <w:p>
      <w:pPr>
        <w:spacing w:after="0" w:line="283" w:lineRule="exact"/>
        <w:rPr>
          <w:sz w:val="20"/>
          <w:szCs w:val="20"/>
          <w:color w:val="auto"/>
        </w:rPr>
      </w:pPr>
    </w:p>
    <w:p>
      <w:pPr>
        <w:ind w:left="300"/>
        <w:spacing w:after="0"/>
        <w:tabs>
          <w:tab w:leader="none" w:pos="740" w:val="left"/>
        </w:tabs>
        <w:rPr>
          <w:sz w:val="20"/>
          <w:szCs w:val="20"/>
          <w:color w:val="auto"/>
        </w:rPr>
      </w:pPr>
      <w:r>
        <w:rPr>
          <w:rFonts w:ascii="Times New Roman" w:cs="Times New Roman" w:eastAsia="Times New Roman" w:hAnsi="Times New Roman"/>
          <w:sz w:val="18"/>
          <w:szCs w:val="18"/>
          <w:color w:val="auto"/>
        </w:rPr>
        <w:t>By:</w:t>
        <w:tab/>
        <w:t>/s/ Noah Greenhill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34290</wp:posOffset>
            </wp:positionV>
            <wp:extent cx="24003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57" w:lineRule="exact"/>
        <w:rPr>
          <w:sz w:val="20"/>
          <w:szCs w:val="20"/>
          <w:color w:val="auto"/>
        </w:rPr>
      </w:pPr>
    </w:p>
    <w:p>
      <w:pPr>
        <w:ind w:left="760"/>
        <w:spacing w:after="0"/>
        <w:tabs>
          <w:tab w:leader="none" w:pos="1440" w:val="left"/>
        </w:tabs>
        <w:rPr>
          <w:sz w:val="20"/>
          <w:szCs w:val="20"/>
          <w:color w:val="auto"/>
        </w:rPr>
      </w:pPr>
      <w:r>
        <w:rPr>
          <w:rFonts w:ascii="Times New Roman" w:cs="Times New Roman" w:eastAsia="Times New Roman" w:hAnsi="Times New Roman"/>
          <w:sz w:val="18"/>
          <w:szCs w:val="18"/>
          <w:color w:val="auto"/>
        </w:rPr>
        <w:t>Name:</w:t>
        <w:tab/>
        <w:t>Noah Greenhill</w:t>
      </w:r>
    </w:p>
    <w:p>
      <w:pPr>
        <w:spacing w:after="0" w:line="36" w:lineRule="exact"/>
        <w:rPr>
          <w:sz w:val="20"/>
          <w:szCs w:val="20"/>
          <w:color w:val="auto"/>
        </w:rPr>
      </w:pPr>
    </w:p>
    <w:p>
      <w:pPr>
        <w:ind w:left="760"/>
        <w:spacing w:after="0"/>
        <w:tabs>
          <w:tab w:leader="none" w:pos="1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Authorized Signatory</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9019"/>
      </w:cols>
      <w:pgMar w:left="1440" w:top="2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12"/>
    </w:lvl>
  </w:abstractNum>
  <w:abstractNum w:abstractNumId="1">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18" Type="http://schemas.openxmlformats.org/officeDocument/2006/relationships/hyperlink" Target="https://www.sec.gov/Archives/edgar/data/1422183/000114036126020704/ny20072853x2_exa1a.htm" TargetMode="External"/><Relationship Id="rId19" Type="http://schemas.openxmlformats.org/officeDocument/2006/relationships/hyperlink" Target="https://www.sec.gov/Archives/edgar/data/1422183/000114036126020704/ny20072853x2_exa1b.htm" TargetMode="External"/><Relationship Id="rId20" Type="http://schemas.openxmlformats.org/officeDocument/2006/relationships/hyperlink" Target="https://www.sec.gov/Archives/edgar/data/1422183/000114036126020502/ny20072853x1_ex99-1.htm" TargetMode="External"/><Relationship Id="rId21" Type="http://schemas.openxmlformats.org/officeDocument/2006/relationships/hyperlink" Target="https://www.sec.gov/Archives/edgar/data/1422183/000114036126020704/ny20072853x2_exa1d.htm" TargetMode="External"/><Relationship Id="rId23" Type="http://schemas.openxmlformats.org/officeDocument/2006/relationships/hyperlink" Target="https://www.sec.gov/Archives/edgar/data/1422183/000110465926058250/tm2614112d1_ex10-1.htm" TargetMode="External"/><Relationship Id="rId24" Type="http://schemas.openxmlformats.org/officeDocument/2006/relationships/hyperlink" Target="https://www.sec.gov/Archives/edgar/data/1422183/000110465925046761/tm2514596d1_ex1-1.htm" TargetMode="External"/><Relationship Id="rId25" Type="http://schemas.openxmlformats.org/officeDocument/2006/relationships/hyperlink" Target="https://www.sec.gov/Archives/edgar/data/1422183/000119312521192219/d175618dex101.htm" TargetMode="External"/><Relationship Id="rId26" Type="http://schemas.openxmlformats.org/officeDocument/2006/relationships/hyperlink" Target="https://www.sec.gov/Archives/edgar/data/1422183/000119312518111587/d563776dex102.htm" TargetMode="External"/><Relationship Id="rId27" Type="http://schemas.openxmlformats.org/officeDocument/2006/relationships/hyperlink" Target="https://www.sec.gov/Archives/edgar/data/1422183/000162828026033118/exhibit101fskkr-amendmentn.htm" TargetMode="External"/><Relationship Id="rId28" Type="http://schemas.openxmlformats.org/officeDocument/2006/relationships/hyperlink" Target="https://www.sec.gov/Archives/edgar/data/1422183/000110465926069537/tm2616700d2_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2026-06-15T08:02:47Z</dcterms:created>
  <dcterms:modified xsi:type="dcterms:W3CDTF">2026-06-15T08:02:47Z</dcterms:modified>
</cp:coreProperties>
</file>