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FS KKR Capital Corp.</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814-00757</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26-1630040</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840" w:space="720"/>
            <w:col w:w="2560"/>
          </w:cols>
          <w:pgMar w:left="320" w:top="826"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3025 JFK Boulevard, OFC 500</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82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495-1150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 stock</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FSK</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5"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Emerging growth company</w:t>
      </w:r>
    </w:p>
    <w:p>
      <w:pPr>
        <w:spacing w:after="0" w:line="22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FS KKR Capital Corp. (the “Company”) will make investor presentations available on its website after the market close on May 18, 2026.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presentations will be found under the “Events &amp; Presentations” page within the “For Investors” section of the Company’s website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www.fskkrcapitalcorp.com</w:t>
      </w:r>
      <w:r>
        <w:rPr>
          <w:rFonts w:ascii="Times New Roman" w:cs="Times New Roman" w:eastAsia="Times New Roman" w:hAnsi="Times New Roman"/>
          <w:sz w:val="18"/>
          <w:szCs w:val="18"/>
          <w:color w:val="auto"/>
        </w:rPr>
        <w:t>). Except as may be required by federal securities laws, the Company undertakes no duty or obligation to update or revise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contained in the presentations.</w:t>
      </w:r>
    </w:p>
    <w:p>
      <w:pPr>
        <w:spacing w:after="0" w:line="20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Item 7.01 shall not be deemed to be “filed” for purposes of Section 18 of the Securities Exchange Act of 1934, as amended (the “Exchange Act”), or otherwise subject to the liabilities of that section, and is not incorporated by reference into any filing under the Securities Act of 1933, as amended, or the Exchange Act.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Current Report on Form 8-K may contain certain forward-looking statements, including statements with regard to future events or the future performance or operation of the Company. Words such as “believes,” “expects,” “projects” and “future” or similar expressions are intended to identify forward-looking statements. These forward-looking statements are subject to the inherent uncertainties in predicting future results and conditions. Certain factors could cause actual results to differ materially from those projected in these forward-looking statements. Factors that could cause actual results to differ materially include changes in the economy, risks associated with possible disruption in the Company’s operations or the economy generally due to terrorism, geo-political risks, natural disasters or pandemics, future changes in laws or regulations and conditions in the Company’s operating area, and the price at which shares of common stock may trade on the New York Stock Exchange. Some of these factors are enumerated in the filings the Company makes with the Securities and Exchange Commission. The Company undertakes no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FS KKR Capital Corp.</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18,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Stephen Sypherd</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Sypherd</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2026-05-18T15:34:55Z</dcterms:created>
  <dcterms:modified xsi:type="dcterms:W3CDTF">2026-05-18T15:34:55Z</dcterms:modified>
</cp:coreProperties>
</file>