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805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23495"/>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182880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SCHEDULE 14A</w:t>
      </w:r>
    </w:p>
    <w:p>
      <w:pPr>
        <w:spacing w:after="0" w:line="25" w:lineRule="exact"/>
        <w:rPr>
          <w:sz w:val="24"/>
          <w:szCs w:val="24"/>
          <w:color w:val="auto"/>
        </w:rPr>
      </w:pPr>
    </w:p>
    <w:p>
      <w:pPr>
        <w:ind w:left="5101"/>
        <w:spacing w:after="0"/>
        <w:rPr>
          <w:sz w:val="20"/>
          <w:szCs w:val="20"/>
          <w:color w:val="auto"/>
        </w:rPr>
      </w:pPr>
      <w:r>
        <w:rPr>
          <w:rFonts w:ascii="Arial" w:cs="Arial" w:eastAsia="Arial" w:hAnsi="Arial"/>
          <w:sz w:val="20"/>
          <w:szCs w:val="20"/>
          <w:b w:val="1"/>
          <w:bCs w:val="1"/>
          <w:color w:val="auto"/>
        </w:rPr>
        <w:t>(Rule 14a-101)</w:t>
      </w:r>
    </w:p>
    <w:p>
      <w:pPr>
        <w:spacing w:after="0" w:line="169" w:lineRule="exact"/>
        <w:rPr>
          <w:sz w:val="24"/>
          <w:szCs w:val="24"/>
          <w:color w:val="auto"/>
        </w:rPr>
      </w:pPr>
    </w:p>
    <w:p>
      <w:pPr>
        <w:ind w:left="3281"/>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191" w:lineRule="exact"/>
        <w:rPr>
          <w:sz w:val="24"/>
          <w:szCs w:val="24"/>
          <w:color w:val="auto"/>
        </w:rPr>
      </w:pPr>
    </w:p>
    <w:p>
      <w:pPr>
        <w:ind w:left="4221"/>
        <w:spacing w:after="0"/>
        <w:rPr>
          <w:sz w:val="20"/>
          <w:szCs w:val="20"/>
          <w:color w:val="auto"/>
        </w:rPr>
      </w:pPr>
      <w:r>
        <w:rPr>
          <w:rFonts w:ascii="Arial" w:cs="Arial" w:eastAsia="Arial" w:hAnsi="Arial"/>
          <w:sz w:val="20"/>
          <w:szCs w:val="20"/>
          <w:b w:val="1"/>
          <w:bCs w:val="1"/>
          <w:color w:val="auto"/>
        </w:rPr>
        <w:t>SCHEDULE 14A INFORMATION</w:t>
      </w:r>
    </w:p>
    <w:p>
      <w:pPr>
        <w:spacing w:after="0" w:line="191" w:lineRule="exact"/>
        <w:rPr>
          <w:sz w:val="24"/>
          <w:szCs w:val="24"/>
          <w:color w:val="auto"/>
        </w:rPr>
      </w:pPr>
    </w:p>
    <w:p>
      <w:pPr>
        <w:ind w:left="3661"/>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02"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2"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63" w:lineRule="exact"/>
        <w:rPr>
          <w:sz w:val="24"/>
          <w:szCs w:val="24"/>
          <w:color w:val="auto"/>
        </w:rPr>
      </w:pPr>
    </w:p>
    <w:p>
      <w:pPr>
        <w:ind w:left="401" w:hanging="401"/>
        <w:spacing w:after="0"/>
        <w:tabs>
          <w:tab w:leader="none" w:pos="4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3" w:lineRule="exact"/>
        <w:rPr>
          <w:rFonts w:ascii="MS PGothic" w:cs="MS PGothic" w:eastAsia="MS PGothic" w:hAnsi="MS PGothic"/>
          <w:sz w:val="16"/>
          <w:szCs w:val="16"/>
          <w:color w:val="auto"/>
        </w:rPr>
      </w:pPr>
    </w:p>
    <w:p>
      <w:pPr>
        <w:ind w:left="401" w:hanging="401"/>
        <w:spacing w:after="0"/>
        <w:tabs>
          <w:tab w:leader="none" w:pos="4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63" w:lineRule="exact"/>
        <w:rPr>
          <w:rFonts w:ascii="MS PGothic" w:cs="MS PGothic" w:eastAsia="MS PGothic" w:hAnsi="MS PGothic"/>
          <w:sz w:val="16"/>
          <w:szCs w:val="16"/>
          <w:color w:val="auto"/>
        </w:rPr>
      </w:pPr>
    </w:p>
    <w:p>
      <w:pPr>
        <w:ind w:left="401" w:hanging="401"/>
        <w:spacing w:after="0"/>
        <w:tabs>
          <w:tab w:leader="none" w:pos="4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63" w:lineRule="exact"/>
        <w:rPr>
          <w:sz w:val="24"/>
          <w:szCs w:val="24"/>
          <w:color w:val="auto"/>
        </w:rPr>
      </w:pPr>
    </w:p>
    <w:p>
      <w:pPr>
        <w:ind w:left="401" w:hanging="401"/>
        <w:spacing w:after="0"/>
        <w:tabs>
          <w:tab w:leader="none" w:pos="40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63" w:lineRule="exact"/>
        <w:rPr>
          <w:sz w:val="24"/>
          <w:szCs w:val="24"/>
          <w:color w:val="auto"/>
        </w:rPr>
      </w:pPr>
    </w:p>
    <w:p>
      <w:pPr>
        <w:ind w:left="401" w:hanging="401"/>
        <w:spacing w:after="0"/>
        <w:tabs>
          <w:tab w:leader="none" w:pos="40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FS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2580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203200</wp:posOffset>
            </wp:positionV>
            <wp:extent cx="72345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4555"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35"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88" w:lineRule="exact"/>
        <w:rPr>
          <w:sz w:val="24"/>
          <w:szCs w:val="24"/>
          <w:color w:val="auto"/>
        </w:rPr>
      </w:pPr>
    </w:p>
    <w:p>
      <w:pPr>
        <w:ind w:left="401" w:hanging="401"/>
        <w:spacing w:after="0"/>
        <w:tabs>
          <w:tab w:leader="none" w:pos="401"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8" w:lineRule="exact"/>
        <w:rPr>
          <w:sz w:val="24"/>
          <w:szCs w:val="24"/>
          <w:color w:val="auto"/>
        </w:rPr>
      </w:pPr>
    </w:p>
    <w:p>
      <w:pPr>
        <w:ind w:left="401" w:hanging="401"/>
        <w:spacing w:after="0"/>
        <w:tabs>
          <w:tab w:leader="none" w:pos="4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162" w:lineRule="exact"/>
        <w:rPr>
          <w:rFonts w:ascii="MS PGothic" w:cs="MS PGothic" w:eastAsia="MS PGothic" w:hAnsi="MS PGothic"/>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4"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47" w:lineRule="exact"/>
        <w:rPr>
          <w:rFonts w:ascii="Arial" w:cs="Arial" w:eastAsia="Arial" w:hAnsi="Arial"/>
          <w:sz w:val="16"/>
          <w:szCs w:val="16"/>
          <w:color w:val="auto"/>
        </w:rPr>
      </w:pPr>
    </w:p>
    <w:p>
      <w:pPr>
        <w:ind w:left="801" w:hanging="405"/>
        <w:spacing w:after="0" w:line="290" w:lineRule="auto"/>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4"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98" w:lineRule="exact"/>
        <w:rPr>
          <w:rFonts w:ascii="Arial" w:cs="Arial" w:eastAsia="Arial" w:hAnsi="Arial"/>
          <w:sz w:val="16"/>
          <w:szCs w:val="16"/>
          <w:color w:val="auto"/>
        </w:rPr>
      </w:pPr>
    </w:p>
    <w:p>
      <w:pPr>
        <w:ind w:left="401" w:hanging="401"/>
        <w:spacing w:after="0"/>
        <w:tabs>
          <w:tab w:leader="none" w:pos="4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63" w:lineRule="exact"/>
        <w:rPr>
          <w:rFonts w:ascii="MS PGothic" w:cs="MS PGothic" w:eastAsia="MS PGothic" w:hAnsi="MS PGothic"/>
          <w:sz w:val="16"/>
          <w:szCs w:val="16"/>
          <w:color w:val="auto"/>
        </w:rPr>
      </w:pPr>
    </w:p>
    <w:p>
      <w:pPr>
        <w:ind w:left="401" w:hanging="401"/>
        <w:spacing w:after="0" w:line="290" w:lineRule="auto"/>
        <w:tabs>
          <w:tab w:leader="none" w:pos="401"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9" w:lineRule="exact"/>
        <w:rPr>
          <w:rFonts w:ascii="MS PGothic" w:cs="MS PGothic" w:eastAsia="MS PGothic" w:hAnsi="MS PGothic"/>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4"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4"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6" w:lineRule="exact"/>
        <w:rPr>
          <w:rFonts w:ascii="Arial" w:cs="Arial" w:eastAsia="Arial" w:hAnsi="Arial"/>
          <w:sz w:val="16"/>
          <w:szCs w:val="16"/>
          <w:color w:val="auto"/>
        </w:rPr>
      </w:pPr>
    </w:p>
    <w:p>
      <w:pPr>
        <w:ind w:left="801" w:hanging="405"/>
        <w:spacing w:after="0"/>
        <w:tabs>
          <w:tab w:leader="none" w:pos="801"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-2708275</wp:posOffset>
            </wp:positionV>
            <wp:extent cx="70459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-2370455</wp:posOffset>
            </wp:positionV>
            <wp:extent cx="70459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-1985645</wp:posOffset>
            </wp:positionV>
            <wp:extent cx="70459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-1726565</wp:posOffset>
            </wp:positionV>
            <wp:extent cx="70459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-1467485</wp:posOffset>
            </wp:positionV>
            <wp:extent cx="70459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-657860</wp:posOffset>
            </wp:positionV>
            <wp:extent cx="70459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-398780</wp:posOffset>
            </wp:positionV>
            <wp:extent cx="70459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-132080</wp:posOffset>
            </wp:positionV>
            <wp:extent cx="70459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2580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1"/>
          </w:cols>
          <w:pgMar w:left="239" w:top="682"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827405</wp:posOffset>
            </wp:positionV>
            <wp:extent cx="7315835" cy="2372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359"/>
        <w:spacing w:after="0" w:line="303" w:lineRule="auto"/>
        <w:rPr>
          <w:sz w:val="20"/>
          <w:szCs w:val="20"/>
          <w:color w:val="auto"/>
        </w:rPr>
      </w:pPr>
      <w:r>
        <w:rPr>
          <w:rFonts w:ascii="Arial" w:cs="Arial" w:eastAsia="Arial" w:hAnsi="Arial"/>
          <w:sz w:val="15"/>
          <w:szCs w:val="15"/>
          <w:color w:val="auto"/>
        </w:rPr>
        <w:t xml:space="preserve">Your clients are receiving </w:t>
      </w:r>
      <w:r>
        <w:rPr>
          <w:rFonts w:ascii="Arial" w:cs="Arial" w:eastAsia="Arial" w:hAnsi="Arial"/>
          <w:sz w:val="15"/>
          <w:szCs w:val="15"/>
          <w:b w:val="1"/>
          <w:bCs w:val="1"/>
          <w:u w:val="single" w:color="auto"/>
          <w:color w:val="auto"/>
        </w:rPr>
        <w:t>this letter</w:t>
      </w:r>
      <w:r>
        <w:rPr>
          <w:rFonts w:ascii="Arial" w:cs="Arial" w:eastAsia="Arial" w:hAnsi="Arial"/>
          <w:sz w:val="15"/>
          <w:szCs w:val="15"/>
          <w:color w:val="auto"/>
        </w:rPr>
        <w:t xml:space="preserve"> via email or mail over the next several days. We need your help. Please encourage your clients to respond to the proxy solicitation by voting in favor of each of the proposals described in the proxy materials in advance of this year’s annual stockholder meeting, which has been adjourned until August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-152400</wp:posOffset>
            </wp:positionV>
            <wp:extent cx="1280160" cy="2340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0160" cy="234061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WAYS TO VOTE</w:t>
      </w:r>
      <w:r>
        <w:rPr>
          <w:rFonts w:ascii="Arial" w:cs="Arial" w:eastAsia="Arial" w:hAnsi="Arial"/>
          <w:sz w:val="16"/>
          <w:szCs w:val="16"/>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WITHOUT A PROXY CARD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Call 877-807-6385 Monday to Friday,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9:00 a.m. to 9:00 p.m. EST to speak with a proxy specialist.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A PROXY CARD: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with a touchtone phone to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vote using an automated system.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WWW.PROXYVOTE.COM</w:t>
      </w:r>
    </w:p>
    <w:p>
      <w:pPr>
        <w:spacing w:after="0" w:line="29" w:lineRule="exact"/>
        <w:rPr>
          <w:sz w:val="20"/>
          <w:szCs w:val="20"/>
          <w:color w:val="auto"/>
        </w:rPr>
      </w:pPr>
    </w:p>
    <w:p>
      <w:pPr>
        <w:ind w:right="5999"/>
        <w:spacing w:after="0" w:line="293" w:lineRule="auto"/>
        <w:rPr>
          <w:sz w:val="20"/>
          <w:szCs w:val="20"/>
          <w:color w:val="auto"/>
        </w:rPr>
      </w:pPr>
      <w:r>
        <w:rPr>
          <w:rFonts w:ascii="Arial" w:cs="Arial" w:eastAsia="Arial" w:hAnsi="Arial"/>
          <w:sz w:val="15"/>
          <w:szCs w:val="15"/>
          <w:color w:val="auto"/>
        </w:rPr>
        <w:t>Your client should have his or her proxy card in hand when accessing the website. There are easy to follow directions to help your client complete the electronic voting instruction form.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PROCESSING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Have your client mark, sign and date his or her proxy card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and return it in the postage paid envelope provided.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More information and additional details will be shared regarding the FSIC listing in the coming months.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Thank you in advance for helping us with the proxy. It is an important first step towards listing.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QUESTIONS?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Call 877-372-9880</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QUESTIONS?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Call 877-807-6385</w:t>
      </w:r>
    </w:p>
    <w:p>
      <w:pPr>
        <w:spacing w:after="0" w:line="371" w:lineRule="exact"/>
        <w:rPr>
          <w:sz w:val="20"/>
          <w:szCs w:val="20"/>
          <w:color w:val="auto"/>
        </w:rPr>
      </w:pPr>
    </w:p>
    <w:p>
      <w:pPr>
        <w:ind w:right="2259"/>
        <w:spacing w:after="0"/>
        <w:rPr>
          <w:sz w:val="20"/>
          <w:szCs w:val="20"/>
          <w:color w:val="auto"/>
        </w:rPr>
      </w:pPr>
      <w:r>
        <w:rPr>
          <w:rFonts w:ascii="Arial" w:cs="Arial" w:eastAsia="Arial" w:hAnsi="Arial"/>
          <w:sz w:val="15"/>
          <w:szCs w:val="15"/>
          <w:color w:val="auto"/>
        </w:rPr>
        <w:t>FOR BROKER DEALER USE ONLY. NOT FOR PUBLIC DISTRIBUTION. This is neither an offer to sell nor a solicitation of an offer to buy the securities described herein, which can only be made by a prospectus. This correspondence must be read in conjunction with FSIC’s periodic filings made with the Securities and Exchange Commission (the “SEC”) in order to fully understand all of the</w:t>
      </w:r>
    </w:p>
    <w:p>
      <w:pPr>
        <w:spacing w:after="0" w:line="3" w:lineRule="exact"/>
        <w:rPr>
          <w:sz w:val="20"/>
          <w:szCs w:val="20"/>
          <w:color w:val="auto"/>
        </w:rPr>
      </w:pPr>
    </w:p>
    <w:p>
      <w:pPr>
        <w:ind w:right="2339"/>
        <w:spacing w:after="0"/>
        <w:rPr>
          <w:sz w:val="20"/>
          <w:szCs w:val="20"/>
          <w:color w:val="auto"/>
        </w:rPr>
      </w:pPr>
      <w:r>
        <w:rPr>
          <w:rFonts w:ascii="Arial" w:cs="Arial" w:eastAsia="Arial" w:hAnsi="Arial"/>
          <w:sz w:val="15"/>
          <w:szCs w:val="15"/>
          <w:color w:val="auto"/>
        </w:rPr>
        <w:t>implications and risks of investing in FSIC. Copies of these filings are available free of charge by contacting FSIC at Cira Centre,</w:t>
      </w:r>
    </w:p>
    <w:p>
      <w:pPr>
        <w:spacing w:after="0" w:line="1" w:lineRule="exact"/>
        <w:rPr>
          <w:sz w:val="20"/>
          <w:szCs w:val="20"/>
          <w:color w:val="auto"/>
        </w:rPr>
      </w:pPr>
    </w:p>
    <w:p>
      <w:pPr>
        <w:ind w:right="2259"/>
        <w:spacing w:after="0" w:line="258" w:lineRule="auto"/>
        <w:rPr>
          <w:sz w:val="20"/>
          <w:szCs w:val="20"/>
          <w:color w:val="auto"/>
        </w:rPr>
      </w:pPr>
      <w:r>
        <w:rPr>
          <w:rFonts w:ascii="Arial" w:cs="Arial" w:eastAsia="Arial" w:hAnsi="Arial"/>
          <w:sz w:val="14"/>
          <w:szCs w:val="14"/>
          <w:color w:val="auto"/>
        </w:rPr>
        <w:t>2929 Arch Street, Suite 675, Philadelphia, PA 19104, by phone at 215-495-1150 or by visiting its website atwww.fsic.com. Neither the SEC, the Attorney General of the State of New York nor any state securities regulators have approved or disapproved of the securities described herein. Any representation to the contrary is a criminal offense.</w:t>
      </w:r>
    </w:p>
    <w:p>
      <w:pPr>
        <w:spacing w:after="0"/>
        <w:rPr>
          <w:sz w:val="20"/>
          <w:szCs w:val="20"/>
          <w:color w:val="auto"/>
        </w:rPr>
      </w:pPr>
      <w:r>
        <w:rPr>
          <w:rFonts w:ascii="Arial" w:cs="Arial" w:eastAsia="Arial" w:hAnsi="Arial"/>
          <w:sz w:val="16"/>
          <w:szCs w:val="16"/>
          <w:color w:val="auto"/>
        </w:rPr>
        <w:t>If you prefer to no longer receive emails, please unsubscribe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494665</wp:posOffset>
            </wp:positionV>
            <wp:extent cx="72580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wp:posOffset>
            </wp:positionH>
            <wp:positionV relativeFrom="page">
              <wp:posOffset>403225</wp:posOffset>
            </wp:positionV>
            <wp:extent cx="6464935" cy="1524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464935" cy="152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221E1F"/>
        </w:rPr>
        <w:t>Dear Fellow Stockholder:</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6"/>
          <w:szCs w:val="16"/>
          <w:color w:val="221E1F"/>
        </w:rPr>
        <w:t>We are pleased to inform you that we are preparing FS Investment Corporation (FSIC) for a liquidity event, which will likely be a listing of shares of our common stock on a national exchange. We believe a listing is the best avenue to maximize value for you, our stockholder. Market and other conditions permitting, we are currently planning to effect the FSIC listing by the end of the first quarter of 2014.</w:t>
      </w:r>
    </w:p>
    <w:p>
      <w:pPr>
        <w:spacing w:after="0" w:line="87"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221E1F"/>
        </w:rPr>
        <w:t>Before we can list, we must successfully complete this year’s annual stockholder meeting proxy process in advance of the date of the meeting, which has been adjourned until August 6, 2013. FSIC is seeking approval from its stockholders to amend certain provisions of its charter in preparation for a potential public listing. You have previously received the proxy materials, which describe the proposed amendments in detail. Please review them carefully.</w:t>
      </w:r>
    </w:p>
    <w:p>
      <w:pPr>
        <w:spacing w:after="0" w:line="75"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221E1F"/>
        </w:rPr>
        <w:t>Please respond to the proxy solicitation by voting in favor of each of the proposals described in the proxy materials by calling 1-877-807-6385. Failure to obtain the required votes will delay the listing process.</w:t>
      </w:r>
    </w:p>
    <w:p>
      <w:pPr>
        <w:spacing w:after="0" w:line="63"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221E1F"/>
        </w:rPr>
        <w:t xml:space="preserve">While our listing is likely several months away, we will continue to communicate with you on a regular basis. If you have any questions, please feel free to contact your financial advisor or visit our website at </w:t>
      </w:r>
      <w:r>
        <w:rPr>
          <w:rFonts w:ascii="Arial" w:cs="Arial" w:eastAsia="Arial" w:hAnsi="Arial"/>
          <w:sz w:val="16"/>
          <w:szCs w:val="16"/>
          <w:u w:val="single" w:color="auto"/>
          <w:color w:val="221E1F"/>
        </w:rPr>
        <w:t>www.fsinvestmentcorp.com</w:t>
      </w:r>
      <w:r>
        <w:rPr>
          <w:rFonts w:ascii="Arial" w:cs="Arial" w:eastAsia="Arial" w:hAnsi="Arial"/>
          <w:sz w:val="16"/>
          <w:szCs w:val="16"/>
          <w:color w:val="221E1F"/>
        </w:rPr>
        <w: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221E1F"/>
        </w:rPr>
        <w:t>Thank you for your partnership as together we prepare FSIC for a potential public listing.</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221E1F"/>
        </w:rPr>
        <w:t>Sincerely,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221E1F"/>
        </w:rPr>
        <w:t>Michael C. Forman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221E1F"/>
        </w:rPr>
        <w:t>Chairman and Chief Executive Officer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21E1F"/>
        </w:rPr>
        <w:t>FS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6786880" cy="207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6880"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right="120"/>
        <w:spacing w:after="0" w:line="288" w:lineRule="auto"/>
        <w:rPr>
          <w:sz w:val="20"/>
          <w:szCs w:val="20"/>
          <w:color w:val="auto"/>
        </w:rPr>
      </w:pPr>
      <w:r>
        <w:rPr>
          <w:rFonts w:ascii="Arial" w:cs="Arial" w:eastAsia="Arial" w:hAnsi="Arial"/>
          <w:sz w:val="15"/>
          <w:szCs w:val="15"/>
          <w:color w:val="404041"/>
        </w:rPr>
        <w:t>This is neither an offer to sell nor a solicitation of an offer to buy the securities described herein, which can only be made by a prospectus. This notice must be read in conjunction with FSIC’s periodic filings made with the Securities and Exchange Commission (the “SEC”) in order to fully understand all of the implications and risks of investing in FSIC. Copies of these filings are available free of charge by contacting FSIC at Cira Centre, 2929 Arch Street, Suite 675, Philadelphia, PA 19104, by phone at 215-495-1150 or by visiting its website at www.fsinvestmentcorp.com. Neither the SEC, the Attorney General of the State of New York nor any state securities regulators have approved or disapproved of the securities described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25805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349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2019-12-07T18:11:14Z</dcterms:created>
  <dcterms:modified xsi:type="dcterms:W3CDTF">2019-12-07T18:11:14Z</dcterms:modified>
</cp:coreProperties>
</file>