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1"/>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277495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44" w:lineRule="exact"/>
        <w:rPr>
          <w:sz w:val="24"/>
          <w:szCs w:val="24"/>
          <w:color w:val="auto"/>
        </w:rPr>
      </w:pPr>
    </w:p>
    <w:p>
      <w:pPr>
        <w:jc w:val="center"/>
        <w:ind w:right="-591"/>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1" w:lineRule="exact"/>
        <w:rPr>
          <w:sz w:val="24"/>
          <w:szCs w:val="24"/>
          <w:color w:val="auto"/>
        </w:rPr>
      </w:pPr>
    </w:p>
    <w:p>
      <w:pPr>
        <w:ind w:left="4512"/>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2880360</wp:posOffset>
            </wp:positionH>
            <wp:positionV relativeFrom="paragraph">
              <wp:posOffset>184150</wp:posOffset>
            </wp:positionV>
            <wp:extent cx="137160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371600" cy="17145"/>
                    </a:xfrm>
                    <a:prstGeom prst="rect">
                      <a:avLst/>
                    </a:prstGeom>
                    <a:noFill/>
                  </pic:spPr>
                </pic:pic>
              </a:graphicData>
            </a:graphic>
          </wp:anchor>
        </w:drawing>
      </w:r>
    </w:p>
    <w:p>
      <w:pPr>
        <w:spacing w:after="0" w:line="200" w:lineRule="exact"/>
        <w:rPr>
          <w:sz w:val="24"/>
          <w:szCs w:val="24"/>
          <w:color w:val="auto"/>
        </w:rPr>
      </w:pPr>
    </w:p>
    <w:p>
      <w:pPr>
        <w:spacing w:after="0" w:line="361" w:lineRule="exact"/>
        <w:rPr>
          <w:sz w:val="24"/>
          <w:szCs w:val="24"/>
          <w:color w:val="auto"/>
        </w:rPr>
      </w:pPr>
    </w:p>
    <w:p>
      <w:pPr>
        <w:jc w:val="center"/>
        <w:ind w:right="-591"/>
        <w:spacing w:after="0"/>
        <w:rPr>
          <w:sz w:val="20"/>
          <w:szCs w:val="20"/>
          <w:color w:val="auto"/>
        </w:rPr>
      </w:pPr>
      <w:r>
        <w:rPr>
          <w:rFonts w:ascii="Times New Roman" w:cs="Times New Roman" w:eastAsia="Times New Roman" w:hAnsi="Times New Roman"/>
          <w:sz w:val="32"/>
          <w:szCs w:val="32"/>
          <w:b w:val="1"/>
          <w:bCs w:val="1"/>
          <w:color w:val="auto"/>
        </w:rPr>
        <w:t>SCHEDULE TO</w:t>
      </w:r>
    </w:p>
    <w:p>
      <w:pPr>
        <w:spacing w:after="0" w:line="45" w:lineRule="exact"/>
        <w:rPr>
          <w:sz w:val="24"/>
          <w:szCs w:val="24"/>
          <w:color w:val="auto"/>
        </w:rPr>
      </w:pPr>
    </w:p>
    <w:p>
      <w:pPr>
        <w:jc w:val="center"/>
        <w:ind w:right="-591"/>
        <w:spacing w:after="0"/>
        <w:rPr>
          <w:sz w:val="20"/>
          <w:szCs w:val="20"/>
          <w:color w:val="auto"/>
        </w:rPr>
      </w:pPr>
      <w:r>
        <w:rPr>
          <w:rFonts w:ascii="Times New Roman" w:cs="Times New Roman" w:eastAsia="Times New Roman" w:hAnsi="Times New Roman"/>
          <w:sz w:val="18"/>
          <w:szCs w:val="18"/>
          <w:b w:val="1"/>
          <w:bCs w:val="1"/>
          <w:color w:val="auto"/>
        </w:rPr>
        <w:t>(Amendment No. 4)</w:t>
      </w:r>
    </w:p>
    <w:p>
      <w:pPr>
        <w:spacing w:after="0" w:line="201" w:lineRule="exact"/>
        <w:rPr>
          <w:sz w:val="24"/>
          <w:szCs w:val="24"/>
          <w:color w:val="auto"/>
        </w:rPr>
      </w:pPr>
    </w:p>
    <w:p>
      <w:pPr>
        <w:jc w:val="center"/>
        <w:ind w:right="-591"/>
        <w:spacing w:after="0"/>
        <w:rPr>
          <w:sz w:val="20"/>
          <w:szCs w:val="20"/>
          <w:color w:val="auto"/>
        </w:rPr>
      </w:pPr>
      <w:r>
        <w:rPr>
          <w:rFonts w:ascii="Times New Roman" w:cs="Times New Roman" w:eastAsia="Times New Roman" w:hAnsi="Times New Roman"/>
          <w:sz w:val="18"/>
          <w:szCs w:val="18"/>
          <w:b w:val="1"/>
          <w:bCs w:val="1"/>
          <w:color w:val="auto"/>
        </w:rPr>
        <w:t>Tender Offer Statement Pursuant to Section 14(d)(1) or 13(e)(1)</w:t>
      </w:r>
    </w:p>
    <w:p>
      <w:pPr>
        <w:spacing w:after="0" w:line="31" w:lineRule="exact"/>
        <w:rPr>
          <w:sz w:val="24"/>
          <w:szCs w:val="24"/>
          <w:color w:val="auto"/>
        </w:rPr>
      </w:pPr>
    </w:p>
    <w:p>
      <w:pPr>
        <w:jc w:val="center"/>
        <w:ind w:right="-591"/>
        <w:spacing w:after="0"/>
        <w:rPr>
          <w:sz w:val="20"/>
          <w:szCs w:val="20"/>
          <w:color w:val="auto"/>
        </w:rPr>
      </w:pPr>
      <w:r>
        <w:rPr>
          <w:rFonts w:ascii="Times New Roman" w:cs="Times New Roman" w:eastAsia="Times New Roman" w:hAnsi="Times New Roman"/>
          <w:sz w:val="18"/>
          <w:szCs w:val="18"/>
          <w:b w:val="1"/>
          <w:bCs w:val="1"/>
          <w:color w:val="auto"/>
        </w:rPr>
        <w:t>of the 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2880360</wp:posOffset>
            </wp:positionH>
            <wp:positionV relativeFrom="paragraph">
              <wp:posOffset>203200</wp:posOffset>
            </wp:positionV>
            <wp:extent cx="137160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371600" cy="17145"/>
                    </a:xfrm>
                    <a:prstGeom prst="rect">
                      <a:avLst/>
                    </a:prstGeom>
                    <a:noFill/>
                  </pic:spPr>
                </pic:pic>
              </a:graphicData>
            </a:graphic>
          </wp:anchor>
        </w:drawing>
      </w:r>
    </w:p>
    <w:p>
      <w:pPr>
        <w:spacing w:after="0" w:line="200" w:lineRule="exact"/>
        <w:rPr>
          <w:sz w:val="24"/>
          <w:szCs w:val="24"/>
          <w:color w:val="auto"/>
        </w:rPr>
      </w:pPr>
    </w:p>
    <w:p>
      <w:pPr>
        <w:spacing w:after="0" w:line="372" w:lineRule="exact"/>
        <w:rPr>
          <w:sz w:val="24"/>
          <w:szCs w:val="24"/>
          <w:color w:val="auto"/>
        </w:rPr>
      </w:pPr>
    </w:p>
    <w:p>
      <w:pPr>
        <w:jc w:val="center"/>
        <w:ind w:right="-591"/>
        <w:spacing w:after="0"/>
        <w:rPr>
          <w:sz w:val="20"/>
          <w:szCs w:val="20"/>
          <w:color w:val="auto"/>
        </w:rPr>
      </w:pPr>
      <w:r>
        <w:rPr>
          <w:rFonts w:ascii="Times New Roman" w:cs="Times New Roman" w:eastAsia="Times New Roman" w:hAnsi="Times New Roman"/>
          <w:sz w:val="43"/>
          <w:szCs w:val="43"/>
          <w:b w:val="1"/>
          <w:bCs w:val="1"/>
          <w:color w:val="auto"/>
        </w:rPr>
        <w:t>FS KKR Capital Corp.</w:t>
      </w:r>
    </w:p>
    <w:p>
      <w:pPr>
        <w:spacing w:after="0" w:line="58" w:lineRule="exact"/>
        <w:rPr>
          <w:sz w:val="24"/>
          <w:szCs w:val="24"/>
          <w:color w:val="auto"/>
        </w:rPr>
      </w:pPr>
    </w:p>
    <w:p>
      <w:pPr>
        <w:jc w:val="center"/>
        <w:ind w:right="-591"/>
        <w:spacing w:after="0"/>
        <w:rPr>
          <w:sz w:val="20"/>
          <w:szCs w:val="20"/>
          <w:color w:val="auto"/>
        </w:rPr>
      </w:pPr>
      <w:r>
        <w:rPr>
          <w:rFonts w:ascii="Times New Roman" w:cs="Times New Roman" w:eastAsia="Times New Roman" w:hAnsi="Times New Roman"/>
          <w:sz w:val="18"/>
          <w:szCs w:val="18"/>
          <w:b w:val="1"/>
          <w:bCs w:val="1"/>
          <w:color w:val="auto"/>
        </w:rPr>
        <w:t>(Name of Subject Company (Issuer))</w:t>
      </w:r>
    </w:p>
    <w:p>
      <w:pPr>
        <w:spacing w:after="0" w:line="172" w:lineRule="exact"/>
        <w:rPr>
          <w:sz w:val="24"/>
          <w:szCs w:val="24"/>
          <w:color w:val="auto"/>
        </w:rPr>
      </w:pPr>
    </w:p>
    <w:p>
      <w:pPr>
        <w:jc w:val="center"/>
        <w:ind w:right="-591"/>
        <w:spacing w:after="0"/>
        <w:rPr>
          <w:sz w:val="20"/>
          <w:szCs w:val="20"/>
          <w:color w:val="auto"/>
        </w:rPr>
      </w:pPr>
      <w:r>
        <w:rPr>
          <w:rFonts w:ascii="Times New Roman" w:cs="Times New Roman" w:eastAsia="Times New Roman" w:hAnsi="Times New Roman"/>
          <w:sz w:val="43"/>
          <w:szCs w:val="43"/>
          <w:b w:val="1"/>
          <w:bCs w:val="1"/>
          <w:color w:val="auto"/>
        </w:rPr>
        <w:t>KKR Alternative Assets L.P.</w:t>
      </w:r>
    </w:p>
    <w:p>
      <w:pPr>
        <w:spacing w:after="0" w:line="63" w:lineRule="exact"/>
        <w:rPr>
          <w:sz w:val="24"/>
          <w:szCs w:val="24"/>
          <w:color w:val="auto"/>
        </w:rPr>
      </w:pPr>
    </w:p>
    <w:p>
      <w:pPr>
        <w:jc w:val="center"/>
        <w:ind w:right="-591"/>
        <w:spacing w:after="0"/>
        <w:rPr>
          <w:sz w:val="20"/>
          <w:szCs w:val="20"/>
          <w:color w:val="auto"/>
        </w:rPr>
      </w:pPr>
      <w:r>
        <w:rPr>
          <w:rFonts w:ascii="Times New Roman" w:cs="Times New Roman" w:eastAsia="Times New Roman" w:hAnsi="Times New Roman"/>
          <w:sz w:val="43"/>
          <w:szCs w:val="43"/>
          <w:b w:val="1"/>
          <w:bCs w:val="1"/>
          <w:color w:val="auto"/>
        </w:rPr>
        <w:t>KKR Alternative Assets Limited</w:t>
      </w:r>
    </w:p>
    <w:p>
      <w:pPr>
        <w:jc w:val="center"/>
        <w:ind w:right="-591"/>
        <w:spacing w:after="0"/>
        <w:rPr>
          <w:sz w:val="20"/>
          <w:szCs w:val="20"/>
          <w:color w:val="auto"/>
        </w:rPr>
      </w:pPr>
      <w:r>
        <w:rPr>
          <w:rFonts w:ascii="Times New Roman" w:cs="Times New Roman" w:eastAsia="Times New Roman" w:hAnsi="Times New Roman"/>
          <w:sz w:val="18"/>
          <w:szCs w:val="18"/>
          <w:b w:val="1"/>
          <w:bCs w:val="1"/>
          <w:color w:val="auto"/>
        </w:rPr>
        <w:t>(Name of Filing Person (Offeror))</w:t>
      </w:r>
    </w:p>
    <w:p>
      <w:pPr>
        <w:spacing w:after="0" w:line="201" w:lineRule="exact"/>
        <w:rPr>
          <w:sz w:val="24"/>
          <w:szCs w:val="24"/>
          <w:color w:val="auto"/>
        </w:rPr>
      </w:pPr>
    </w:p>
    <w:p>
      <w:pPr>
        <w:jc w:val="center"/>
        <w:ind w:right="-591"/>
        <w:spacing w:after="0"/>
        <w:rPr>
          <w:sz w:val="20"/>
          <w:szCs w:val="20"/>
          <w:color w:val="auto"/>
        </w:rPr>
      </w:pPr>
      <w:r>
        <w:rPr>
          <w:rFonts w:ascii="Times New Roman" w:cs="Times New Roman" w:eastAsia="Times New Roman" w:hAnsi="Times New Roman"/>
          <w:sz w:val="18"/>
          <w:szCs w:val="18"/>
          <w:b w:val="1"/>
          <w:bCs w:val="1"/>
          <w:color w:val="auto"/>
        </w:rPr>
        <w:t>Common stock, par value $0.001 per share</w:t>
      </w:r>
    </w:p>
    <w:p>
      <w:pPr>
        <w:spacing w:after="0" w:line="31" w:lineRule="exact"/>
        <w:rPr>
          <w:sz w:val="24"/>
          <w:szCs w:val="24"/>
          <w:color w:val="auto"/>
        </w:rPr>
      </w:pPr>
    </w:p>
    <w:p>
      <w:pPr>
        <w:jc w:val="center"/>
        <w:ind w:right="-591"/>
        <w:spacing w:after="0"/>
        <w:rPr>
          <w:sz w:val="20"/>
          <w:szCs w:val="20"/>
          <w:color w:val="auto"/>
        </w:rPr>
      </w:pPr>
      <w:r>
        <w:rPr>
          <w:rFonts w:ascii="Times New Roman" w:cs="Times New Roman" w:eastAsia="Times New Roman" w:hAnsi="Times New Roman"/>
          <w:sz w:val="18"/>
          <w:szCs w:val="18"/>
          <w:b w:val="1"/>
          <w:bCs w:val="1"/>
          <w:color w:val="auto"/>
        </w:rPr>
        <w:t>(Title of Class of Securities)</w:t>
      </w:r>
    </w:p>
    <w:p>
      <w:pPr>
        <w:spacing w:after="0" w:line="203" w:lineRule="exact"/>
        <w:rPr>
          <w:sz w:val="24"/>
          <w:szCs w:val="24"/>
          <w:color w:val="auto"/>
        </w:rPr>
      </w:pPr>
    </w:p>
    <w:p>
      <w:pPr>
        <w:jc w:val="center"/>
        <w:ind w:right="-591"/>
        <w:spacing w:after="0"/>
        <w:rPr>
          <w:sz w:val="20"/>
          <w:szCs w:val="20"/>
          <w:color w:val="auto"/>
        </w:rPr>
      </w:pPr>
      <w:r>
        <w:rPr>
          <w:rFonts w:ascii="Times New Roman" w:cs="Times New Roman" w:eastAsia="Times New Roman" w:hAnsi="Times New Roman"/>
          <w:sz w:val="18"/>
          <w:szCs w:val="18"/>
          <w:b w:val="1"/>
          <w:bCs w:val="1"/>
          <w:color w:val="auto"/>
        </w:rPr>
        <w:t>302635206</w:t>
      </w:r>
    </w:p>
    <w:p>
      <w:pPr>
        <w:spacing w:after="0" w:line="31" w:lineRule="exact"/>
        <w:rPr>
          <w:sz w:val="24"/>
          <w:szCs w:val="24"/>
          <w:color w:val="auto"/>
        </w:rPr>
      </w:pPr>
    </w:p>
    <w:p>
      <w:pPr>
        <w:jc w:val="center"/>
        <w:ind w:right="-591"/>
        <w:spacing w:after="0"/>
        <w:rPr>
          <w:sz w:val="20"/>
          <w:szCs w:val="20"/>
          <w:color w:val="auto"/>
        </w:rPr>
      </w:pPr>
      <w:r>
        <w:rPr>
          <w:rFonts w:ascii="Times New Roman" w:cs="Times New Roman" w:eastAsia="Times New Roman" w:hAnsi="Times New Roman"/>
          <w:sz w:val="18"/>
          <w:szCs w:val="18"/>
          <w:b w:val="1"/>
          <w:bCs w:val="1"/>
          <w:color w:val="auto"/>
        </w:rPr>
        <w:t>(CUSIP Number of Class of Securities)</w:t>
      </w:r>
    </w:p>
    <w:p>
      <w:pPr>
        <w:spacing w:after="0" w:line="203" w:lineRule="exact"/>
        <w:rPr>
          <w:sz w:val="24"/>
          <w:szCs w:val="24"/>
          <w:color w:val="auto"/>
        </w:rPr>
      </w:pPr>
    </w:p>
    <w:p>
      <w:pPr>
        <w:jc w:val="center"/>
        <w:ind w:right="-591"/>
        <w:spacing w:after="0"/>
        <w:rPr>
          <w:sz w:val="20"/>
          <w:szCs w:val="20"/>
          <w:color w:val="auto"/>
        </w:rPr>
      </w:pPr>
      <w:r>
        <w:rPr>
          <w:rFonts w:ascii="Times New Roman" w:cs="Times New Roman" w:eastAsia="Times New Roman" w:hAnsi="Times New Roman"/>
          <w:sz w:val="18"/>
          <w:szCs w:val="18"/>
          <w:b w:val="1"/>
          <w:bCs w:val="1"/>
          <w:color w:val="auto"/>
        </w:rPr>
        <w:t>Noah Greenhill, Esq.</w:t>
      </w:r>
    </w:p>
    <w:p>
      <w:pPr>
        <w:spacing w:after="0" w:line="31" w:lineRule="exact"/>
        <w:rPr>
          <w:sz w:val="24"/>
          <w:szCs w:val="24"/>
          <w:color w:val="auto"/>
        </w:rPr>
      </w:pPr>
    </w:p>
    <w:p>
      <w:pPr>
        <w:jc w:val="center"/>
        <w:ind w:right="-591"/>
        <w:spacing w:after="0"/>
        <w:rPr>
          <w:sz w:val="20"/>
          <w:szCs w:val="20"/>
          <w:color w:val="auto"/>
        </w:rPr>
      </w:pPr>
      <w:r>
        <w:rPr>
          <w:rFonts w:ascii="Times New Roman" w:cs="Times New Roman" w:eastAsia="Times New Roman" w:hAnsi="Times New Roman"/>
          <w:sz w:val="18"/>
          <w:szCs w:val="18"/>
          <w:b w:val="1"/>
          <w:bCs w:val="1"/>
          <w:color w:val="auto"/>
        </w:rPr>
        <w:t>KKR Alternative Assets L.P.</w:t>
      </w:r>
    </w:p>
    <w:p>
      <w:pPr>
        <w:spacing w:after="0" w:line="9" w:lineRule="exact"/>
        <w:rPr>
          <w:sz w:val="24"/>
          <w:szCs w:val="24"/>
          <w:color w:val="auto"/>
        </w:rPr>
      </w:pPr>
    </w:p>
    <w:p>
      <w:pPr>
        <w:jc w:val="center"/>
        <w:ind w:right="-591"/>
        <w:spacing w:after="0"/>
        <w:rPr>
          <w:sz w:val="20"/>
          <w:szCs w:val="20"/>
          <w:color w:val="auto"/>
        </w:rPr>
      </w:pPr>
      <w:r>
        <w:rPr>
          <w:rFonts w:ascii="Times New Roman" w:cs="Times New Roman" w:eastAsia="Times New Roman" w:hAnsi="Times New Roman"/>
          <w:sz w:val="18"/>
          <w:szCs w:val="18"/>
          <w:b w:val="1"/>
          <w:bCs w:val="1"/>
          <w:color w:val="auto"/>
        </w:rPr>
        <w:t>30 Hudson Yards</w:t>
      </w:r>
    </w:p>
    <w:p>
      <w:pPr>
        <w:spacing w:after="0" w:line="9" w:lineRule="exact"/>
        <w:rPr>
          <w:sz w:val="24"/>
          <w:szCs w:val="24"/>
          <w:color w:val="auto"/>
        </w:rPr>
      </w:pPr>
    </w:p>
    <w:p>
      <w:pPr>
        <w:jc w:val="center"/>
        <w:ind w:right="-591"/>
        <w:spacing w:after="0"/>
        <w:rPr>
          <w:sz w:val="20"/>
          <w:szCs w:val="20"/>
          <w:color w:val="auto"/>
        </w:rPr>
      </w:pPr>
      <w:r>
        <w:rPr>
          <w:rFonts w:ascii="Times New Roman" w:cs="Times New Roman" w:eastAsia="Times New Roman" w:hAnsi="Times New Roman"/>
          <w:sz w:val="18"/>
          <w:szCs w:val="18"/>
          <w:b w:val="1"/>
          <w:bCs w:val="1"/>
          <w:color w:val="auto"/>
        </w:rPr>
        <w:t>New York, NY 10001</w:t>
      </w:r>
    </w:p>
    <w:p>
      <w:pPr>
        <w:spacing w:after="0" w:line="9" w:lineRule="exact"/>
        <w:rPr>
          <w:sz w:val="24"/>
          <w:szCs w:val="24"/>
          <w:color w:val="auto"/>
        </w:rPr>
      </w:pPr>
    </w:p>
    <w:p>
      <w:pPr>
        <w:jc w:val="center"/>
        <w:ind w:right="-591"/>
        <w:spacing w:after="0"/>
        <w:rPr>
          <w:sz w:val="20"/>
          <w:szCs w:val="20"/>
          <w:color w:val="auto"/>
        </w:rPr>
      </w:pPr>
      <w:r>
        <w:rPr>
          <w:rFonts w:ascii="Times New Roman" w:cs="Times New Roman" w:eastAsia="Times New Roman" w:hAnsi="Times New Roman"/>
          <w:sz w:val="18"/>
          <w:szCs w:val="18"/>
          <w:b w:val="1"/>
          <w:bCs w:val="1"/>
          <w:color w:val="auto"/>
        </w:rPr>
        <w:t>(212) 750-8300</w:t>
      </w:r>
    </w:p>
    <w:p>
      <w:pPr>
        <w:spacing w:after="0" w:line="203" w:lineRule="exact"/>
        <w:rPr>
          <w:sz w:val="24"/>
          <w:szCs w:val="24"/>
          <w:color w:val="auto"/>
        </w:rPr>
      </w:pPr>
    </w:p>
    <w:p>
      <w:pPr>
        <w:ind w:left="592"/>
        <w:spacing w:after="0"/>
        <w:rPr>
          <w:sz w:val="20"/>
          <w:szCs w:val="20"/>
          <w:color w:val="auto"/>
        </w:rPr>
      </w:pPr>
      <w:r>
        <w:rPr>
          <w:rFonts w:ascii="Times New Roman" w:cs="Times New Roman" w:eastAsia="Times New Roman" w:hAnsi="Times New Roman"/>
          <w:sz w:val="17"/>
          <w:szCs w:val="17"/>
          <w:b w:val="1"/>
          <w:bCs w:val="1"/>
          <w:color w:val="auto"/>
        </w:rPr>
        <w:t>(Name, Address and Telephone Number of Person Authorized to Receive Notices and Communications on Behalf of Filing Persons)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2880360</wp:posOffset>
            </wp:positionH>
            <wp:positionV relativeFrom="paragraph">
              <wp:posOffset>224155</wp:posOffset>
            </wp:positionV>
            <wp:extent cx="137160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371600" cy="171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49" w:lineRule="exact"/>
        <w:rPr>
          <w:sz w:val="24"/>
          <w:szCs w:val="24"/>
          <w:color w:val="auto"/>
        </w:rPr>
      </w:pPr>
    </w:p>
    <w:p>
      <w:pPr>
        <w:jc w:val="center"/>
        <w:ind w:right="-591"/>
        <w:spacing w:after="0"/>
        <w:rPr>
          <w:sz w:val="20"/>
          <w:szCs w:val="20"/>
          <w:color w:val="auto"/>
        </w:rPr>
      </w:pPr>
      <w:r>
        <w:rPr>
          <w:rFonts w:ascii="Times New Roman" w:cs="Times New Roman" w:eastAsia="Times New Roman" w:hAnsi="Times New Roman"/>
          <w:sz w:val="18"/>
          <w:szCs w:val="18"/>
          <w:b w:val="1"/>
          <w:bCs w:val="1"/>
          <w:i w:val="1"/>
          <w:iCs w:val="1"/>
          <w:color w:val="auto"/>
        </w:rPr>
        <w:t>Copies to:</w:t>
      </w:r>
    </w:p>
    <w:p>
      <w:pPr>
        <w:spacing w:after="0" w:line="225" w:lineRule="exact"/>
        <w:rPr>
          <w:sz w:val="24"/>
          <w:szCs w:val="24"/>
          <w:color w:val="auto"/>
        </w:rPr>
      </w:pPr>
    </w:p>
    <w:p>
      <w:pPr>
        <w:jc w:val="center"/>
        <w:ind w:right="-591"/>
        <w:spacing w:after="0"/>
        <w:rPr>
          <w:sz w:val="20"/>
          <w:szCs w:val="20"/>
          <w:color w:val="auto"/>
        </w:rPr>
      </w:pPr>
      <w:r>
        <w:rPr>
          <w:rFonts w:ascii="Times New Roman" w:cs="Times New Roman" w:eastAsia="Times New Roman" w:hAnsi="Times New Roman"/>
          <w:sz w:val="18"/>
          <w:szCs w:val="18"/>
          <w:b w:val="1"/>
          <w:bCs w:val="1"/>
          <w:color w:val="auto"/>
        </w:rPr>
        <w:t>Kenneth Wallach, Esq.</w:t>
      </w:r>
    </w:p>
    <w:p>
      <w:pPr>
        <w:spacing w:after="0" w:line="31" w:lineRule="exact"/>
        <w:rPr>
          <w:sz w:val="24"/>
          <w:szCs w:val="24"/>
          <w:color w:val="auto"/>
        </w:rPr>
      </w:pPr>
    </w:p>
    <w:p>
      <w:pPr>
        <w:jc w:val="center"/>
        <w:ind w:right="-591"/>
        <w:spacing w:after="0"/>
        <w:rPr>
          <w:sz w:val="20"/>
          <w:szCs w:val="20"/>
          <w:color w:val="auto"/>
        </w:rPr>
      </w:pPr>
      <w:r>
        <w:rPr>
          <w:rFonts w:ascii="Times New Roman" w:cs="Times New Roman" w:eastAsia="Times New Roman" w:hAnsi="Times New Roman"/>
          <w:sz w:val="18"/>
          <w:szCs w:val="18"/>
          <w:b w:val="1"/>
          <w:bCs w:val="1"/>
          <w:color w:val="auto"/>
        </w:rPr>
        <w:t>Lesley Peng, Esq.</w:t>
      </w:r>
    </w:p>
    <w:p>
      <w:pPr>
        <w:spacing w:after="0" w:line="9" w:lineRule="exact"/>
        <w:rPr>
          <w:sz w:val="24"/>
          <w:szCs w:val="24"/>
          <w:color w:val="auto"/>
        </w:rPr>
      </w:pPr>
    </w:p>
    <w:p>
      <w:pPr>
        <w:jc w:val="center"/>
        <w:ind w:right="-591"/>
        <w:spacing w:after="0"/>
        <w:rPr>
          <w:sz w:val="20"/>
          <w:szCs w:val="20"/>
          <w:color w:val="auto"/>
        </w:rPr>
      </w:pPr>
      <w:r>
        <w:rPr>
          <w:rFonts w:ascii="Times New Roman" w:cs="Times New Roman" w:eastAsia="Times New Roman" w:hAnsi="Times New Roman"/>
          <w:sz w:val="18"/>
          <w:szCs w:val="18"/>
          <w:b w:val="1"/>
          <w:bCs w:val="1"/>
          <w:color w:val="auto"/>
        </w:rPr>
        <w:t>Patrick Baron, Esq.</w:t>
      </w:r>
    </w:p>
    <w:p>
      <w:pPr>
        <w:spacing w:after="0" w:line="9" w:lineRule="exact"/>
        <w:rPr>
          <w:sz w:val="24"/>
          <w:szCs w:val="24"/>
          <w:color w:val="auto"/>
        </w:rPr>
      </w:pPr>
    </w:p>
    <w:p>
      <w:pPr>
        <w:jc w:val="center"/>
        <w:ind w:right="-591"/>
        <w:spacing w:after="0"/>
        <w:rPr>
          <w:sz w:val="20"/>
          <w:szCs w:val="20"/>
          <w:color w:val="auto"/>
        </w:rPr>
      </w:pPr>
      <w:r>
        <w:rPr>
          <w:rFonts w:ascii="Times New Roman" w:cs="Times New Roman" w:eastAsia="Times New Roman" w:hAnsi="Times New Roman"/>
          <w:sz w:val="18"/>
          <w:szCs w:val="18"/>
          <w:b w:val="1"/>
          <w:bCs w:val="1"/>
          <w:color w:val="auto"/>
        </w:rPr>
        <w:t>Simpson Thacher &amp; Bartlett LLP</w:t>
      </w:r>
    </w:p>
    <w:p>
      <w:pPr>
        <w:spacing w:after="0" w:line="9" w:lineRule="exact"/>
        <w:rPr>
          <w:sz w:val="24"/>
          <w:szCs w:val="24"/>
          <w:color w:val="auto"/>
        </w:rPr>
      </w:pPr>
    </w:p>
    <w:p>
      <w:pPr>
        <w:jc w:val="center"/>
        <w:ind w:right="-591"/>
        <w:spacing w:after="0"/>
        <w:rPr>
          <w:sz w:val="20"/>
          <w:szCs w:val="20"/>
          <w:color w:val="auto"/>
        </w:rPr>
      </w:pPr>
      <w:r>
        <w:rPr>
          <w:rFonts w:ascii="Times New Roman" w:cs="Times New Roman" w:eastAsia="Times New Roman" w:hAnsi="Times New Roman"/>
          <w:sz w:val="18"/>
          <w:szCs w:val="18"/>
          <w:b w:val="1"/>
          <w:bCs w:val="1"/>
          <w:color w:val="auto"/>
        </w:rPr>
        <w:t>425 Lexington Avenue</w:t>
      </w:r>
    </w:p>
    <w:p>
      <w:pPr>
        <w:spacing w:after="0" w:line="9" w:lineRule="exact"/>
        <w:rPr>
          <w:sz w:val="24"/>
          <w:szCs w:val="24"/>
          <w:color w:val="auto"/>
        </w:rPr>
      </w:pPr>
    </w:p>
    <w:p>
      <w:pPr>
        <w:jc w:val="center"/>
        <w:ind w:right="-591"/>
        <w:spacing w:after="0"/>
        <w:rPr>
          <w:sz w:val="20"/>
          <w:szCs w:val="20"/>
          <w:color w:val="auto"/>
        </w:rPr>
      </w:pPr>
      <w:r>
        <w:rPr>
          <w:rFonts w:ascii="Times New Roman" w:cs="Times New Roman" w:eastAsia="Times New Roman" w:hAnsi="Times New Roman"/>
          <w:sz w:val="18"/>
          <w:szCs w:val="18"/>
          <w:b w:val="1"/>
          <w:bCs w:val="1"/>
          <w:color w:val="auto"/>
        </w:rPr>
        <w:t>New York, NY 10017</w:t>
      </w:r>
    </w:p>
    <w:p>
      <w:pPr>
        <w:spacing w:after="0" w:line="9" w:lineRule="exact"/>
        <w:rPr>
          <w:sz w:val="24"/>
          <w:szCs w:val="24"/>
          <w:color w:val="auto"/>
        </w:rPr>
      </w:pPr>
    </w:p>
    <w:p>
      <w:pPr>
        <w:jc w:val="center"/>
        <w:ind w:right="-591"/>
        <w:spacing w:after="0"/>
        <w:rPr>
          <w:sz w:val="20"/>
          <w:szCs w:val="20"/>
          <w:color w:val="auto"/>
        </w:rPr>
      </w:pPr>
      <w:r>
        <w:rPr>
          <w:rFonts w:ascii="Times New Roman" w:cs="Times New Roman" w:eastAsia="Times New Roman" w:hAnsi="Times New Roman"/>
          <w:sz w:val="18"/>
          <w:szCs w:val="18"/>
          <w:b w:val="1"/>
          <w:bCs w:val="1"/>
          <w:color w:val="auto"/>
        </w:rPr>
        <w:t>(212) 455-2000</w:t>
      </w:r>
    </w:p>
    <w:p>
      <w:pPr>
        <w:spacing w:after="0" w:line="203" w:lineRule="exact"/>
        <w:rPr>
          <w:sz w:val="24"/>
          <w:szCs w:val="24"/>
          <w:color w:val="auto"/>
        </w:rPr>
      </w:pPr>
    </w:p>
    <w:p>
      <w:pPr>
        <w:ind w:left="732"/>
        <w:spacing w:after="0"/>
        <w:rPr>
          <w:sz w:val="20"/>
          <w:szCs w:val="20"/>
          <w:color w:val="auto"/>
        </w:rPr>
      </w:pPr>
      <w:r>
        <w:rPr>
          <w:rFonts w:ascii="Times New Roman" w:cs="Times New Roman" w:eastAsia="Times New Roman" w:hAnsi="Times New Roman"/>
          <w:sz w:val="18"/>
          <w:szCs w:val="18"/>
          <w:b w:val="1"/>
          <w:bCs w:val="1"/>
          <w:color w:val="auto"/>
        </w:rPr>
        <w:t>(Name, address, and telephone numbers of person authorized to receive notices and communications on behalf of filing persons)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2880360</wp:posOffset>
            </wp:positionH>
            <wp:positionV relativeFrom="paragraph">
              <wp:posOffset>208280</wp:posOffset>
            </wp:positionV>
            <wp:extent cx="137160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371600" cy="171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28" w:lineRule="exact"/>
        <w:rPr>
          <w:sz w:val="24"/>
          <w:szCs w:val="24"/>
          <w:color w:val="auto"/>
        </w:rPr>
      </w:pPr>
    </w:p>
    <w:p>
      <w:pPr>
        <w:ind w:left="1292" w:right="1180" w:hanging="1292"/>
        <w:spacing w:after="0" w:line="477" w:lineRule="auto"/>
        <w:tabs>
          <w:tab w:leader="none" w:pos="64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Check the box if the filing relates solely to preliminary communications made before the commencement of a tender offer. Check the appropriate boxes below to designate any transactions to which the statement relates:</w:t>
      </w:r>
    </w:p>
    <w:p>
      <w:pPr>
        <w:spacing w:after="0" w:line="41" w:lineRule="exact"/>
        <w:rPr>
          <w:sz w:val="24"/>
          <w:szCs w:val="24"/>
          <w:color w:val="auto"/>
        </w:rPr>
      </w:pPr>
    </w:p>
    <w:p>
      <w:pPr>
        <w:ind w:left="652" w:hanging="652"/>
        <w:spacing w:after="0"/>
        <w:tabs>
          <w:tab w:leader="none" w:pos="652"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third-party tender offer subject to Rule 14d-1.</w:t>
      </w:r>
    </w:p>
    <w:p>
      <w:pPr>
        <w:spacing w:after="0" w:line="225" w:lineRule="exact"/>
        <w:rPr>
          <w:sz w:val="24"/>
          <w:szCs w:val="24"/>
          <w:color w:val="auto"/>
        </w:rPr>
      </w:pPr>
    </w:p>
    <w:p>
      <w:pPr>
        <w:ind w:left="652" w:hanging="652"/>
        <w:spacing w:after="0"/>
        <w:tabs>
          <w:tab w:leader="none" w:pos="652"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issuer tender offer subject to Rule 13e-4.</w:t>
      </w:r>
    </w:p>
    <w:p>
      <w:pPr>
        <w:spacing w:after="0" w:line="225" w:lineRule="exact"/>
        <w:rPr>
          <w:rFonts w:ascii="MS PGothic" w:cs="MS PGothic" w:eastAsia="MS PGothic" w:hAnsi="MS PGothic"/>
          <w:sz w:val="18"/>
          <w:szCs w:val="18"/>
          <w:color w:val="auto"/>
        </w:rPr>
      </w:pPr>
    </w:p>
    <w:p>
      <w:pPr>
        <w:ind w:left="652" w:hanging="652"/>
        <w:spacing w:after="0"/>
        <w:tabs>
          <w:tab w:leader="none" w:pos="652"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going private transaction subject to Rule 13e-3</w:t>
      </w:r>
    </w:p>
    <w:p>
      <w:pPr>
        <w:spacing w:after="0" w:line="225" w:lineRule="exact"/>
        <w:rPr>
          <w:rFonts w:ascii="MS PGothic" w:cs="MS PGothic" w:eastAsia="MS PGothic" w:hAnsi="MS PGothic"/>
          <w:sz w:val="18"/>
          <w:szCs w:val="18"/>
          <w:color w:val="auto"/>
        </w:rPr>
      </w:pPr>
    </w:p>
    <w:p>
      <w:pPr>
        <w:ind w:left="652" w:hanging="652"/>
        <w:spacing w:after="0"/>
        <w:tabs>
          <w:tab w:leader="none" w:pos="652"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amendment to Schedule 13D under Rule 13d-2</w:t>
      </w:r>
    </w:p>
    <w:p>
      <w:pPr>
        <w:spacing w:after="0" w:line="184" w:lineRule="exact"/>
        <w:rPr>
          <w:rFonts w:ascii="MS PGothic" w:cs="MS PGothic" w:eastAsia="MS PGothic" w:hAnsi="MS PGothic"/>
          <w:sz w:val="18"/>
          <w:szCs w:val="18"/>
          <w:color w:val="auto"/>
        </w:rPr>
      </w:pPr>
    </w:p>
    <w:p>
      <w:pPr>
        <w:ind w:left="652"/>
        <w:spacing w:after="0" w:line="207" w:lineRule="exact"/>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 xml:space="preserve">Check the following box if the filing is a final amendment reporting the results of the tender offer: </w:t>
      </w:r>
      <w:r>
        <w:rPr>
          <w:rFonts w:ascii="MS PGothic" w:cs="MS PGothic" w:eastAsia="MS PGothic" w:hAnsi="MS PGothic"/>
          <w:sz w:val="18"/>
          <w:szCs w:val="18"/>
          <w:color w:val="auto"/>
        </w:rPr>
        <w:t>☐</w:t>
      </w:r>
    </w:p>
    <w:p>
      <w:pPr>
        <w:spacing w:after="0" w:line="265" w:lineRule="exact"/>
        <w:rPr>
          <w:rFonts w:ascii="MS PGothic" w:cs="MS PGothic" w:eastAsia="MS PGothic" w:hAnsi="MS PGothic"/>
          <w:sz w:val="18"/>
          <w:szCs w:val="18"/>
          <w:color w:val="auto"/>
        </w:rPr>
      </w:pPr>
    </w:p>
    <w:p>
      <w:pPr>
        <w:ind w:left="652"/>
        <w:spacing w:after="0"/>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If applicable, check the appropriate box(es) below to designate the appropriate rule provision(s) relied upon:</w:t>
      </w:r>
    </w:p>
    <w:p>
      <w:pPr>
        <w:spacing w:after="0" w:line="225" w:lineRule="exact"/>
        <w:rPr>
          <w:rFonts w:ascii="MS PGothic" w:cs="MS PGothic" w:eastAsia="MS PGothic" w:hAnsi="MS PGothic"/>
          <w:sz w:val="18"/>
          <w:szCs w:val="18"/>
          <w:color w:val="auto"/>
        </w:rPr>
      </w:pPr>
    </w:p>
    <w:p>
      <w:pPr>
        <w:ind w:left="652" w:hanging="652"/>
        <w:spacing w:after="0"/>
        <w:tabs>
          <w:tab w:leader="none" w:pos="652"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Rule 13e-4(i) (Cross-Border Issuer Tender Offer)</w:t>
      </w:r>
    </w:p>
    <w:p>
      <w:pPr>
        <w:sectPr>
          <w:pgSz w:w="11900" w:h="16838" w:orient="portrait"/>
          <w:cols w:equalWidth="0" w:num="1">
            <w:col w:w="10652"/>
          </w:cols>
          <w:pgMar w:left="328" w:top="516" w:right="919" w:bottom="0" w:gutter="0" w:footer="0" w:header="0"/>
        </w:sectPr>
      </w:pPr>
    </w:p>
    <w:bookmarkStart w:id="1" w:name="page2"/>
    <w:bookmarkEnd w:id="1"/>
    <w:p>
      <w:pPr>
        <w:ind w:left="652" w:hanging="652"/>
        <w:spacing w:after="0"/>
        <w:tabs>
          <w:tab w:leader="none" w:pos="652" w:val="left"/>
        </w:tabs>
        <w:numPr>
          <w:ilvl w:val="0"/>
          <w:numId w:val="4"/>
        </w:numPr>
        <w:rPr>
          <w:rFonts w:ascii="MS PGothic" w:cs="MS PGothic" w:eastAsia="MS PGothic" w:hAnsi="MS PGothic"/>
          <w:sz w:val="17"/>
          <w:szCs w:val="17"/>
          <w:color w:val="auto"/>
        </w:rPr>
      </w:pPr>
      <w:r>
        <w:rPr>
          <w:rFonts w:ascii="Times New Roman" w:cs="Times New Roman" w:eastAsia="Times New Roman" w:hAnsi="Times New Roman"/>
          <w:sz w:val="17"/>
          <w:szCs w:val="17"/>
          <w:color w:val="auto"/>
        </w:rPr>
        <w:t>Rule 14d-1(d) (Cross-Border Third-Party Tender Offer)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84455</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179070</wp:posOffset>
            </wp:positionV>
            <wp:extent cx="7132320" cy="342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324485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1"/>
          </w:cols>
          <w:pgMar w:left="328" w:top="121" w:right="1440" w:bottom="1440" w:gutter="0" w:footer="0" w:header="0"/>
        </w:sectPr>
      </w:pPr>
    </w:p>
    <w:bookmarkStart w:id="2" w:name="page3"/>
    <w:bookmarkEnd w:id="2"/>
    <w:p>
      <w:pPr>
        <w:ind w:right="20"/>
        <w:spacing w:after="0" w:line="254" w:lineRule="auto"/>
        <w:rPr>
          <w:sz w:val="20"/>
          <w:szCs w:val="20"/>
          <w:color w:val="auto"/>
        </w:rPr>
      </w:pPr>
      <w:r>
        <w:rPr>
          <w:rFonts w:ascii="Times New Roman" w:cs="Times New Roman" w:eastAsia="Times New Roman" w:hAnsi="Times New Roman"/>
          <w:sz w:val="18"/>
          <w:szCs w:val="18"/>
          <w:color w:val="auto"/>
        </w:rPr>
        <w:t>This Amendment No. 4 (this “</w:t>
      </w:r>
      <w:r>
        <w:rPr>
          <w:rFonts w:ascii="Times New Roman" w:cs="Times New Roman" w:eastAsia="Times New Roman" w:hAnsi="Times New Roman"/>
          <w:sz w:val="18"/>
          <w:szCs w:val="18"/>
          <w:b w:val="1"/>
          <w:bCs w:val="1"/>
          <w:color w:val="auto"/>
        </w:rPr>
        <w:t>Amendment</w:t>
      </w:r>
      <w:r>
        <w:rPr>
          <w:rFonts w:ascii="Times New Roman" w:cs="Times New Roman" w:eastAsia="Times New Roman" w:hAnsi="Times New Roman"/>
          <w:sz w:val="18"/>
          <w:szCs w:val="18"/>
          <w:color w:val="auto"/>
        </w:rPr>
        <w:t>”) amends and supplements the Tender Offer Statement on Schedule TO originally filed by KKR Alternative Assets L.P., a Delaware limited partnership (the “</w:t>
      </w:r>
      <w:r>
        <w:rPr>
          <w:rFonts w:ascii="Times New Roman" w:cs="Times New Roman" w:eastAsia="Times New Roman" w:hAnsi="Times New Roman"/>
          <w:sz w:val="18"/>
          <w:szCs w:val="18"/>
          <w:b w:val="1"/>
          <w:bCs w:val="1"/>
          <w:color w:val="auto"/>
        </w:rPr>
        <w:t>Purchaser</w:t>
      </w:r>
      <w:r>
        <w:rPr>
          <w:rFonts w:ascii="Times New Roman" w:cs="Times New Roman" w:eastAsia="Times New Roman" w:hAnsi="Times New Roman"/>
          <w:sz w:val="18"/>
          <w:szCs w:val="18"/>
          <w:color w:val="auto"/>
        </w:rPr>
        <w:t>”), on May 12, 2026, as amended by Amendment No. 1 filed on May 22, 2026, Amendment No. 2 filed on June 2, 2026 and Amendment No. 3 filed on June 5, 2026 (as amended, the “</w:t>
      </w:r>
      <w:r>
        <w:rPr>
          <w:rFonts w:ascii="Times New Roman" w:cs="Times New Roman" w:eastAsia="Times New Roman" w:hAnsi="Times New Roman"/>
          <w:sz w:val="18"/>
          <w:szCs w:val="18"/>
          <w:b w:val="1"/>
          <w:bCs w:val="1"/>
          <w:color w:val="auto"/>
        </w:rPr>
        <w:t>Schedule TO</w:t>
      </w:r>
      <w:r>
        <w:rPr>
          <w:rFonts w:ascii="Times New Roman" w:cs="Times New Roman" w:eastAsia="Times New Roman" w:hAnsi="Times New Roman"/>
          <w:sz w:val="18"/>
          <w:szCs w:val="18"/>
          <w:color w:val="auto"/>
        </w:rPr>
        <w:t>”) in connection with the Purchaser’s offer to purchase up to $150,000,000 in aggregate amount of shares of common stock, par value $0.001 per share (the “</w:t>
      </w:r>
      <w:r>
        <w:rPr>
          <w:rFonts w:ascii="Times New Roman" w:cs="Times New Roman" w:eastAsia="Times New Roman" w:hAnsi="Times New Roman"/>
          <w:sz w:val="18"/>
          <w:szCs w:val="18"/>
          <w:b w:val="1"/>
          <w:bCs w:val="1"/>
          <w:color w:val="auto"/>
        </w:rPr>
        <w:t>Shares</w:t>
      </w:r>
      <w:r>
        <w:rPr>
          <w:rFonts w:ascii="Times New Roman" w:cs="Times New Roman" w:eastAsia="Times New Roman" w:hAnsi="Times New Roman"/>
          <w:sz w:val="18"/>
          <w:szCs w:val="18"/>
          <w:color w:val="auto"/>
        </w:rPr>
        <w:t>”), of FS KKR Capital Corp., a Maryland corporation, at a price equal to $11.00 per share, less any applicable withholding taxes and without interest, upon the terms and subject to the conditions set forth in the Offer to Purchase dated May 12, 2026, as amended by Amendment No. 1 to the Schedule TO, Amendment No. 2 to the Schedule TO and Amendment No. 3 to the Schedule TO (the “</w:t>
      </w:r>
      <w:r>
        <w:rPr>
          <w:rFonts w:ascii="Times New Roman" w:cs="Times New Roman" w:eastAsia="Times New Roman" w:hAnsi="Times New Roman"/>
          <w:sz w:val="18"/>
          <w:szCs w:val="18"/>
          <w:b w:val="1"/>
          <w:bCs w:val="1"/>
          <w:color w:val="auto"/>
        </w:rPr>
        <w:t>Offer to Purchase</w:t>
      </w:r>
      <w:r>
        <w:rPr>
          <w:rFonts w:ascii="Times New Roman" w:cs="Times New Roman" w:eastAsia="Times New Roman" w:hAnsi="Times New Roman"/>
          <w:sz w:val="18"/>
          <w:szCs w:val="18"/>
          <w:color w:val="auto"/>
        </w:rPr>
        <w:t>”), which was previously filed with the Schedule TO as Exhibit (a)(1)(A), and in the related Letter of Transmittal, as amended by Amendment No. 3 to the Schedule TO (the “</w:t>
      </w:r>
      <w:r>
        <w:rPr>
          <w:rFonts w:ascii="Times New Roman" w:cs="Times New Roman" w:eastAsia="Times New Roman" w:hAnsi="Times New Roman"/>
          <w:sz w:val="18"/>
          <w:szCs w:val="18"/>
          <w:b w:val="1"/>
          <w:bCs w:val="1"/>
          <w:color w:val="auto"/>
        </w:rPr>
        <w:t>Letter of Transmittal</w:t>
      </w:r>
      <w:r>
        <w:rPr>
          <w:rFonts w:ascii="Times New Roman" w:cs="Times New Roman" w:eastAsia="Times New Roman" w:hAnsi="Times New Roman"/>
          <w:sz w:val="18"/>
          <w:szCs w:val="18"/>
          <w:color w:val="auto"/>
        </w:rPr>
        <w:t>”), which was previously filed with the Schedule TO as Exhibit (a)(1)(B), which, together with Amendment No. 1 to the Schedule TO, Amendment No. 2 to the Schedule TO, Amendment No. 3 to the Schedule TO and this Amendment collectively constitute the “</w:t>
      </w:r>
      <w:r>
        <w:rPr>
          <w:rFonts w:ascii="Times New Roman" w:cs="Times New Roman" w:eastAsia="Times New Roman" w:hAnsi="Times New Roman"/>
          <w:sz w:val="18"/>
          <w:szCs w:val="18"/>
          <w:b w:val="1"/>
          <w:bCs w:val="1"/>
          <w:color w:val="auto"/>
        </w:rPr>
        <w:t>Offer</w:t>
      </w:r>
      <w:r>
        <w:rPr>
          <w:rFonts w:ascii="Times New Roman" w:cs="Times New Roman" w:eastAsia="Times New Roman" w:hAnsi="Times New Roman"/>
          <w:sz w:val="18"/>
          <w:szCs w:val="18"/>
          <w:color w:val="auto"/>
        </w:rPr>
        <w:t>.”</w:t>
      </w:r>
    </w:p>
    <w:p>
      <w:pPr>
        <w:spacing w:after="0" w:line="189"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KKR Alternative Assets Limited, the general partner of the Purchaser, is being named as a bidder in in this Amendment because it is deemed to control the Purchaser, but otherwise is not participating in the Offer.</w:t>
      </w:r>
    </w:p>
    <w:p>
      <w:pPr>
        <w:spacing w:after="0" w:line="162"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Except as otherwise set forth in this Amendment, the information set forth in the Schedule TO remains unchanged and is incorporated herein by reference to the extent relevant to the Items in this Amendment. This Amendment should be read together with the Schedule TO. Capitalized terms used and not otherwise defined in this Amendment shall have the meanings assigned to such terms in the Schedule TO and the Offer to Purchase.</w:t>
      </w:r>
    </w:p>
    <w:p>
      <w:pPr>
        <w:spacing w:after="0" w:line="172"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11.</w:t>
      </w:r>
      <w:r>
        <w:rPr>
          <w:sz w:val="20"/>
          <w:szCs w:val="20"/>
          <w:color w:val="auto"/>
        </w:rPr>
        <w:tab/>
      </w:r>
      <w:r>
        <w:rPr>
          <w:rFonts w:ascii="Times New Roman" w:cs="Times New Roman" w:eastAsia="Times New Roman" w:hAnsi="Times New Roman"/>
          <w:sz w:val="18"/>
          <w:szCs w:val="18"/>
          <w:b w:val="1"/>
          <w:bCs w:val="1"/>
          <w:color w:val="auto"/>
        </w:rPr>
        <w:t>Additional Information.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disclosure in Item 11 of the Schedule TO is hereby amended and supplemented as follows:</w:t>
      </w:r>
    </w:p>
    <w:p>
      <w:pPr>
        <w:spacing w:after="0" w:line="225" w:lineRule="exact"/>
        <w:rPr>
          <w:sz w:val="20"/>
          <w:szCs w:val="20"/>
          <w:color w:val="auto"/>
        </w:rPr>
      </w:pPr>
    </w:p>
    <w:p>
      <w:pPr>
        <w:ind w:left="660" w:right="760" w:hanging="328"/>
        <w:spacing w:after="0" w:line="282" w:lineRule="auto"/>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Purchaser has received the preliminary results of the Offer, which expired at 11:59 p.m., New York City time, on June 11, 2026 (the “</w:t>
      </w:r>
      <w:r>
        <w:rPr>
          <w:rFonts w:ascii="Times New Roman" w:cs="Times New Roman" w:eastAsia="Times New Roman" w:hAnsi="Times New Roman"/>
          <w:sz w:val="18"/>
          <w:szCs w:val="18"/>
          <w:b w:val="1"/>
          <w:bCs w:val="1"/>
          <w:color w:val="auto"/>
        </w:rPr>
        <w:t>Expiration Date</w:t>
      </w:r>
      <w:r>
        <w:rPr>
          <w:rFonts w:ascii="Times New Roman" w:cs="Times New Roman" w:eastAsia="Times New Roman" w:hAnsi="Times New Roman"/>
          <w:sz w:val="18"/>
          <w:szCs w:val="18"/>
          <w:color w:val="auto"/>
        </w:rPr>
        <w:t>”).</w:t>
      </w:r>
    </w:p>
    <w:p>
      <w:pPr>
        <w:spacing w:after="0" w:line="157" w:lineRule="exact"/>
        <w:rPr>
          <w:rFonts w:ascii="Times New Roman" w:cs="Times New Roman" w:eastAsia="Times New Roman" w:hAnsi="Times New Roman"/>
          <w:sz w:val="18"/>
          <w:szCs w:val="18"/>
          <w:color w:val="auto"/>
        </w:rPr>
      </w:pPr>
    </w:p>
    <w:p>
      <w:pPr>
        <w:ind w:left="660" w:right="60" w:hanging="328"/>
        <w:spacing w:after="0" w:line="286" w:lineRule="auto"/>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the preliminary count by Kroll Issuer Services US, the Depositary for the Offer (the “</w:t>
      </w:r>
      <w:r>
        <w:rPr>
          <w:rFonts w:ascii="Times New Roman" w:cs="Times New Roman" w:eastAsia="Times New Roman" w:hAnsi="Times New Roman"/>
          <w:sz w:val="18"/>
          <w:szCs w:val="18"/>
          <w:b w:val="1"/>
          <w:bCs w:val="1"/>
          <w:color w:val="auto"/>
        </w:rPr>
        <w:t>Depositary</w:t>
      </w:r>
      <w:r>
        <w:rPr>
          <w:rFonts w:ascii="Times New Roman" w:cs="Times New Roman" w:eastAsia="Times New Roman" w:hAnsi="Times New Roman"/>
          <w:sz w:val="18"/>
          <w:szCs w:val="18"/>
          <w:color w:val="auto"/>
        </w:rPr>
        <w:t>”), a total of approximately 17,993,004 Shares were validly tendered and received, and not properly withdrawn at or before the Expiration Date.</w:t>
      </w:r>
    </w:p>
    <w:p>
      <w:pPr>
        <w:spacing w:after="0" w:line="158"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accordance with the terms and conditions of the Offer and based on the preliminary count by the Depositary, the Purchaser expects to accept for payment, at a purchase price of $11.00 per Share, 13,636,363 Shares validly tendered and not properly withdrawn at or before the Expiration Date, at an aggregate purchase price of approximately $149,999,993, excluding fees and expenses relating to the Offer.</w:t>
      </w:r>
    </w:p>
    <w:p>
      <w:pPr>
        <w:spacing w:after="0" w:line="175" w:lineRule="exact"/>
        <w:rPr>
          <w:rFonts w:ascii="Times New Roman" w:cs="Times New Roman" w:eastAsia="Times New Roman" w:hAnsi="Times New Roman"/>
          <w:sz w:val="18"/>
          <w:szCs w:val="18"/>
          <w:color w:val="auto"/>
        </w:rPr>
      </w:pPr>
    </w:p>
    <w:p>
      <w:pPr>
        <w:ind w:left="660" w:right="100" w:hanging="328"/>
        <w:spacing w:after="0" w:line="282" w:lineRule="auto"/>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Since the Offer is oversubscribed, the Purchaser expects to accept the Shares on a pro rata basis and has been informed by the Depositary that the preliminary proration factor for the Offer is 75.787%.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225425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333" w:right="35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38"/>
        </w:trPr>
        <w:tc>
          <w:tcPr>
            <w:tcW w:w="9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Item 12.</w:t>
            </w:r>
          </w:p>
        </w:tc>
        <w:tc>
          <w:tcPr>
            <w:tcW w:w="10240" w:type="dxa"/>
            <w:vAlign w:val="bottom"/>
          </w:tcPr>
          <w:p>
            <w:pPr>
              <w:ind w:left="400"/>
              <w:spacing w:after="0"/>
              <w:rPr>
                <w:sz w:val="20"/>
                <w:szCs w:val="20"/>
                <w:color w:val="auto"/>
              </w:rPr>
            </w:pPr>
            <w:r>
              <w:rPr>
                <w:rFonts w:ascii="Times New Roman" w:cs="Times New Roman" w:eastAsia="Times New Roman" w:hAnsi="Times New Roman"/>
                <w:sz w:val="18"/>
                <w:szCs w:val="18"/>
                <w:b w:val="1"/>
                <w:bCs w:val="1"/>
                <w:color w:val="auto"/>
              </w:rPr>
              <w:t>Exhibits.</w:t>
            </w:r>
          </w:p>
        </w:tc>
      </w:tr>
      <w:tr>
        <w:trPr>
          <w:trHeight w:val="392"/>
        </w:trPr>
        <w:tc>
          <w:tcPr>
            <w:tcW w:w="900" w:type="dxa"/>
            <w:vAlign w:val="bottom"/>
            <w:gridSpan w:val="2"/>
          </w:tcPr>
          <w:p>
            <w:pPr>
              <w:spacing w:after="0"/>
              <w:rPr>
                <w:rFonts w:ascii="Times New Roman" w:cs="Times New Roman" w:eastAsia="Times New Roman" w:hAnsi="Times New Roman"/>
                <w:sz w:val="18"/>
                <w:szCs w:val="18"/>
                <w:color w:val="0000EE"/>
              </w:rPr>
            </w:pPr>
            <w:hyperlink r:id="rId18">
              <w:r>
                <w:rPr>
                  <w:rFonts w:ascii="Times New Roman" w:cs="Times New Roman" w:eastAsia="Times New Roman" w:hAnsi="Times New Roman"/>
                  <w:sz w:val="18"/>
                  <w:szCs w:val="18"/>
                  <w:color w:val="0000EE"/>
                </w:rPr>
                <w:t>(a)(1)(A)</w:t>
              </w:r>
            </w:hyperlink>
          </w:p>
        </w:tc>
        <w:tc>
          <w:tcPr>
            <w:tcW w:w="102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Offer to Purchase (incorporated by reference to Exhibit (a)(1)(A) to the Schedule TO-T filed by the Purchaser on May 12, 2026).</w:t>
            </w:r>
          </w:p>
        </w:tc>
      </w:tr>
      <w:tr>
        <w:trPr>
          <w:trHeight w:val="412"/>
        </w:trPr>
        <w:tc>
          <w:tcPr>
            <w:tcW w:w="660" w:type="dxa"/>
            <w:vAlign w:val="bottom"/>
            <w:tcBorders>
              <w:top w:val="single" w:sz="8" w:color="0000EE"/>
              <w:bottom w:val="single" w:sz="8" w:color="0000EE"/>
            </w:tcBorders>
          </w:tcPr>
          <w:p>
            <w:pPr>
              <w:spacing w:after="0"/>
              <w:rPr>
                <w:rFonts w:ascii="Times New Roman" w:cs="Times New Roman" w:eastAsia="Times New Roman" w:hAnsi="Times New Roman"/>
                <w:sz w:val="18"/>
                <w:szCs w:val="18"/>
                <w:color w:val="0000EE"/>
                <w:w w:val="98"/>
              </w:rPr>
            </w:pPr>
            <w:hyperlink r:id="rId19">
              <w:r>
                <w:rPr>
                  <w:rFonts w:ascii="Times New Roman" w:cs="Times New Roman" w:eastAsia="Times New Roman" w:hAnsi="Times New Roman"/>
                  <w:sz w:val="18"/>
                  <w:szCs w:val="18"/>
                  <w:color w:val="0000EE"/>
                  <w:w w:val="98"/>
                </w:rPr>
                <w:t>(a)(1)(B)</w:t>
              </w:r>
            </w:hyperlink>
          </w:p>
        </w:tc>
        <w:tc>
          <w:tcPr>
            <w:tcW w:w="240" w:type="dxa"/>
            <w:vAlign w:val="bottom"/>
          </w:tcPr>
          <w:p>
            <w:pPr>
              <w:spacing w:after="0"/>
              <w:rPr>
                <w:sz w:val="24"/>
                <w:szCs w:val="24"/>
                <w:color w:val="auto"/>
              </w:rPr>
            </w:pPr>
          </w:p>
        </w:tc>
        <w:tc>
          <w:tcPr>
            <w:tcW w:w="10240" w:type="dxa"/>
            <w:vAlign w:val="bottom"/>
          </w:tcPr>
          <w:p>
            <w:pPr>
              <w:ind w:left="240"/>
              <w:spacing w:after="0"/>
              <w:rPr>
                <w:sz w:val="20"/>
                <w:szCs w:val="20"/>
                <w:color w:val="auto"/>
              </w:rPr>
            </w:pPr>
            <w:r>
              <w:rPr>
                <w:rFonts w:ascii="Times New Roman" w:cs="Times New Roman" w:eastAsia="Times New Roman" w:hAnsi="Times New Roman"/>
                <w:sz w:val="18"/>
                <w:szCs w:val="18"/>
                <w:color w:val="auto"/>
                <w:w w:val="99"/>
              </w:rPr>
              <w:t>Letter of Transmittal (including Internal Revenue Service Form W-9) (incorporated by reference to Exhibit (a)(1)(B) to the Schedule TO-T</w:t>
            </w:r>
          </w:p>
        </w:tc>
      </w:tr>
      <w:tr>
        <w:trPr>
          <w:trHeight w:val="237"/>
        </w:trPr>
        <w:tc>
          <w:tcPr>
            <w:tcW w:w="6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2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filed by the Purchaser on May 12, 2026).</w:t>
            </w:r>
          </w:p>
        </w:tc>
      </w:tr>
      <w:tr>
        <w:trPr>
          <w:trHeight w:val="391"/>
        </w:trPr>
        <w:tc>
          <w:tcPr>
            <w:tcW w:w="900" w:type="dxa"/>
            <w:vAlign w:val="bottom"/>
            <w:gridSpan w:val="2"/>
          </w:tcPr>
          <w:p>
            <w:pPr>
              <w:spacing w:after="0"/>
              <w:rPr>
                <w:rFonts w:ascii="Times New Roman" w:cs="Times New Roman" w:eastAsia="Times New Roman" w:hAnsi="Times New Roman"/>
                <w:sz w:val="18"/>
                <w:szCs w:val="18"/>
                <w:color w:val="0000EE"/>
              </w:rPr>
            </w:pPr>
            <w:hyperlink r:id="rId20">
              <w:r>
                <w:rPr>
                  <w:rFonts w:ascii="Times New Roman" w:cs="Times New Roman" w:eastAsia="Times New Roman" w:hAnsi="Times New Roman"/>
                  <w:sz w:val="18"/>
                  <w:szCs w:val="18"/>
                  <w:color w:val="0000EE"/>
                </w:rPr>
                <w:t>(a)(1)(C)</w:t>
              </w:r>
            </w:hyperlink>
          </w:p>
        </w:tc>
        <w:tc>
          <w:tcPr>
            <w:tcW w:w="102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Press Release issued by the Purchaser on May 11, 2026 (incorporated by reference to Exhibit 99.1 to the Schedule TO-C filed by the</w:t>
            </w:r>
          </w:p>
        </w:tc>
      </w:tr>
      <w:tr>
        <w:trPr>
          <w:trHeight w:val="237"/>
        </w:trPr>
        <w:tc>
          <w:tcPr>
            <w:tcW w:w="660" w:type="dxa"/>
            <w:vAlign w:val="bottom"/>
            <w:tcBorders>
              <w:top w:val="single" w:sz="8" w:color="0000EE"/>
            </w:tcBorders>
          </w:tcPr>
          <w:p>
            <w:pPr>
              <w:spacing w:after="0"/>
              <w:rPr>
                <w:sz w:val="20"/>
                <w:szCs w:val="20"/>
                <w:color w:val="auto"/>
              </w:rPr>
            </w:pPr>
          </w:p>
        </w:tc>
        <w:tc>
          <w:tcPr>
            <w:tcW w:w="240" w:type="dxa"/>
            <w:vAlign w:val="bottom"/>
          </w:tcPr>
          <w:p>
            <w:pPr>
              <w:spacing w:after="0"/>
              <w:rPr>
                <w:sz w:val="20"/>
                <w:szCs w:val="20"/>
                <w:color w:val="auto"/>
              </w:rPr>
            </w:pPr>
          </w:p>
        </w:tc>
        <w:tc>
          <w:tcPr>
            <w:tcW w:w="102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Purchaser on May 11, 2026).</w:t>
            </w:r>
          </w:p>
        </w:tc>
      </w:tr>
      <w:tr>
        <w:trPr>
          <w:trHeight w:val="392"/>
        </w:trPr>
        <w:tc>
          <w:tcPr>
            <w:tcW w:w="900" w:type="dxa"/>
            <w:vAlign w:val="bottom"/>
            <w:gridSpan w:val="2"/>
          </w:tcPr>
          <w:p>
            <w:pPr>
              <w:spacing w:after="0"/>
              <w:rPr>
                <w:rFonts w:ascii="Times New Roman" w:cs="Times New Roman" w:eastAsia="Times New Roman" w:hAnsi="Times New Roman"/>
                <w:sz w:val="18"/>
                <w:szCs w:val="18"/>
                <w:color w:val="0000EE"/>
              </w:rPr>
            </w:pPr>
            <w:hyperlink r:id="rId21">
              <w:r>
                <w:rPr>
                  <w:rFonts w:ascii="Times New Roman" w:cs="Times New Roman" w:eastAsia="Times New Roman" w:hAnsi="Times New Roman"/>
                  <w:sz w:val="18"/>
                  <w:szCs w:val="18"/>
                  <w:color w:val="0000EE"/>
                </w:rPr>
                <w:t>(a)(1)(D)</w:t>
              </w:r>
            </w:hyperlink>
          </w:p>
        </w:tc>
        <w:tc>
          <w:tcPr>
            <w:tcW w:w="102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 xml:space="preserve">Summary Advertisement as published in </w:t>
            </w:r>
            <w:r>
              <w:rPr>
                <w:rFonts w:ascii="Times New Roman" w:cs="Times New Roman" w:eastAsia="Times New Roman" w:hAnsi="Times New Roman"/>
                <w:sz w:val="18"/>
                <w:szCs w:val="18"/>
                <w:i w:val="1"/>
                <w:iCs w:val="1"/>
                <w:color w:val="auto"/>
              </w:rPr>
              <w:t>The Wall Street Journal</w:t>
            </w:r>
            <w:r>
              <w:rPr>
                <w:rFonts w:ascii="Times New Roman" w:cs="Times New Roman" w:eastAsia="Times New Roman" w:hAnsi="Times New Roman"/>
                <w:sz w:val="18"/>
                <w:szCs w:val="18"/>
                <w:color w:val="auto"/>
              </w:rPr>
              <w:t xml:space="preserve"> on May 12, 2026 (incorporated by reference to Exhibit (a)(1)(D) to the</w:t>
            </w:r>
          </w:p>
        </w:tc>
      </w:tr>
      <w:tr>
        <w:trPr>
          <w:trHeight w:val="237"/>
        </w:trPr>
        <w:tc>
          <w:tcPr>
            <w:tcW w:w="660" w:type="dxa"/>
            <w:vAlign w:val="bottom"/>
            <w:tcBorders>
              <w:top w:val="single" w:sz="8" w:color="0000EE"/>
            </w:tcBorders>
          </w:tcPr>
          <w:p>
            <w:pPr>
              <w:spacing w:after="0"/>
              <w:rPr>
                <w:sz w:val="20"/>
                <w:szCs w:val="20"/>
                <w:color w:val="auto"/>
              </w:rPr>
            </w:pPr>
          </w:p>
        </w:tc>
        <w:tc>
          <w:tcPr>
            <w:tcW w:w="240" w:type="dxa"/>
            <w:vAlign w:val="bottom"/>
          </w:tcPr>
          <w:p>
            <w:pPr>
              <w:spacing w:after="0"/>
              <w:rPr>
                <w:sz w:val="20"/>
                <w:szCs w:val="20"/>
                <w:color w:val="auto"/>
              </w:rPr>
            </w:pPr>
          </w:p>
        </w:tc>
        <w:tc>
          <w:tcPr>
            <w:tcW w:w="102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Schedule TO-T filed by the Purchaser on May 12, 2026).</w:t>
            </w:r>
          </w:p>
        </w:tc>
      </w:tr>
    </w:tbl>
    <w:p>
      <w:pPr>
        <w:spacing w:after="0" w:line="198" w:lineRule="exact"/>
        <w:rPr>
          <w:sz w:val="20"/>
          <w:szCs w:val="20"/>
          <w:color w:val="auto"/>
        </w:rPr>
      </w:pPr>
    </w:p>
    <w:p>
      <w:pPr>
        <w:ind w:left="1140" w:hanging="1132"/>
        <w:spacing w:after="0"/>
        <w:tabs>
          <w:tab w:leader="none" w:pos="11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None.</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80" w:type="dxa"/>
            <w:vAlign w:val="bottom"/>
            <w:gridSpan w:val="2"/>
          </w:tcPr>
          <w:p>
            <w:pPr>
              <w:spacing w:after="0"/>
              <w:rPr>
                <w:rFonts w:ascii="Times New Roman" w:cs="Times New Roman" w:eastAsia="Times New Roman" w:hAnsi="Times New Roman"/>
                <w:sz w:val="18"/>
                <w:szCs w:val="18"/>
                <w:color w:val="0000EE"/>
              </w:rPr>
            </w:pPr>
            <w:hyperlink r:id="rId22">
              <w:r>
                <w:rPr>
                  <w:rFonts w:ascii="Times New Roman" w:cs="Times New Roman" w:eastAsia="Times New Roman" w:hAnsi="Times New Roman"/>
                  <w:sz w:val="18"/>
                  <w:szCs w:val="18"/>
                  <w:color w:val="0000EE"/>
                </w:rPr>
                <w:t>(d)(1)</w:t>
              </w:r>
            </w:hyperlink>
          </w:p>
        </w:tc>
        <w:tc>
          <w:tcPr>
            <w:tcW w:w="10460" w:type="dxa"/>
            <w:vAlign w:val="bottom"/>
          </w:tcPr>
          <w:p>
            <w:pPr>
              <w:ind w:left="360"/>
              <w:spacing w:after="0"/>
              <w:rPr>
                <w:sz w:val="20"/>
                <w:szCs w:val="20"/>
                <w:color w:val="auto"/>
              </w:rPr>
            </w:pPr>
            <w:r>
              <w:rPr>
                <w:rFonts w:ascii="Times New Roman" w:cs="Times New Roman" w:eastAsia="Times New Roman" w:hAnsi="Times New Roman"/>
                <w:sz w:val="18"/>
                <w:szCs w:val="18"/>
                <w:color w:val="auto"/>
                <w:w w:val="99"/>
              </w:rPr>
              <w:t>Purchase Agreement, dated May 10, 2026, by and between the Purchaser and the Company (incorporated by reference to Exhibit 10.1 to the</w:t>
            </w:r>
          </w:p>
        </w:tc>
      </w:tr>
      <w:tr>
        <w:trPr>
          <w:trHeight w:val="237"/>
        </w:trPr>
        <w:tc>
          <w:tcPr>
            <w:tcW w:w="420" w:type="dxa"/>
            <w:vAlign w:val="bottom"/>
            <w:tcBorders>
              <w:top w:val="single" w:sz="8" w:color="0000EE"/>
            </w:tcBorders>
          </w:tcPr>
          <w:p>
            <w:pPr>
              <w:spacing w:after="0"/>
              <w:rPr>
                <w:sz w:val="20"/>
                <w:szCs w:val="20"/>
                <w:color w:val="auto"/>
              </w:rPr>
            </w:pPr>
          </w:p>
        </w:tc>
        <w:tc>
          <w:tcPr>
            <w:tcW w:w="360" w:type="dxa"/>
            <w:vAlign w:val="bottom"/>
          </w:tcPr>
          <w:p>
            <w:pPr>
              <w:spacing w:after="0"/>
              <w:rPr>
                <w:sz w:val="20"/>
                <w:szCs w:val="20"/>
                <w:color w:val="auto"/>
              </w:rPr>
            </w:pPr>
          </w:p>
        </w:tc>
        <w:tc>
          <w:tcPr>
            <w:tcW w:w="104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Company’s Current Report on Form 8-K filed on May 11, 2026).</w:t>
            </w:r>
          </w:p>
        </w:tc>
      </w:tr>
      <w:tr>
        <w:trPr>
          <w:trHeight w:val="391"/>
        </w:trPr>
        <w:tc>
          <w:tcPr>
            <w:tcW w:w="780" w:type="dxa"/>
            <w:vAlign w:val="bottom"/>
            <w:gridSpan w:val="2"/>
          </w:tcPr>
          <w:p>
            <w:pPr>
              <w:spacing w:after="0"/>
              <w:rPr>
                <w:rFonts w:ascii="Times New Roman" w:cs="Times New Roman" w:eastAsia="Times New Roman" w:hAnsi="Times New Roman"/>
                <w:sz w:val="18"/>
                <w:szCs w:val="18"/>
                <w:color w:val="0000EE"/>
              </w:rPr>
            </w:pPr>
            <w:hyperlink r:id="rId23">
              <w:r>
                <w:rPr>
                  <w:rFonts w:ascii="Times New Roman" w:cs="Times New Roman" w:eastAsia="Times New Roman" w:hAnsi="Times New Roman"/>
                  <w:sz w:val="18"/>
                  <w:szCs w:val="18"/>
                  <w:color w:val="0000EE"/>
                </w:rPr>
                <w:t>(d)(2)</w:t>
              </w:r>
            </w:hyperlink>
          </w:p>
        </w:tc>
        <w:tc>
          <w:tcPr>
            <w:tcW w:w="104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Form of Equity Distribution Agreement (incorporated by reference to Exhibit 10.23 to the Company’s Annual Report on Form 10-K for the</w:t>
            </w:r>
          </w:p>
        </w:tc>
      </w:tr>
      <w:tr>
        <w:trPr>
          <w:trHeight w:val="237"/>
        </w:trPr>
        <w:tc>
          <w:tcPr>
            <w:tcW w:w="420" w:type="dxa"/>
            <w:vAlign w:val="bottom"/>
            <w:tcBorders>
              <w:top w:val="single" w:sz="8" w:color="0000EE"/>
            </w:tcBorders>
          </w:tcPr>
          <w:p>
            <w:pPr>
              <w:spacing w:after="0"/>
              <w:rPr>
                <w:sz w:val="20"/>
                <w:szCs w:val="20"/>
                <w:color w:val="auto"/>
              </w:rPr>
            </w:pPr>
          </w:p>
        </w:tc>
        <w:tc>
          <w:tcPr>
            <w:tcW w:w="360" w:type="dxa"/>
            <w:vAlign w:val="bottom"/>
          </w:tcPr>
          <w:p>
            <w:pPr>
              <w:spacing w:after="0"/>
              <w:rPr>
                <w:sz w:val="20"/>
                <w:szCs w:val="20"/>
                <w:color w:val="auto"/>
              </w:rPr>
            </w:pPr>
          </w:p>
        </w:tc>
        <w:tc>
          <w:tcPr>
            <w:tcW w:w="104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fiscal year ended December 31, 2025 filed on February 25, 2026).</w:t>
            </w:r>
          </w:p>
        </w:tc>
      </w:tr>
      <w:tr>
        <w:trPr>
          <w:trHeight w:val="392"/>
        </w:trPr>
        <w:tc>
          <w:tcPr>
            <w:tcW w:w="780" w:type="dxa"/>
            <w:vAlign w:val="bottom"/>
            <w:gridSpan w:val="2"/>
          </w:tcPr>
          <w:p>
            <w:pPr>
              <w:spacing w:after="0"/>
              <w:rPr>
                <w:rFonts w:ascii="Times New Roman" w:cs="Times New Roman" w:eastAsia="Times New Roman" w:hAnsi="Times New Roman"/>
                <w:sz w:val="18"/>
                <w:szCs w:val="18"/>
                <w:color w:val="0000EE"/>
              </w:rPr>
            </w:pPr>
            <w:hyperlink r:id="rId24">
              <w:r>
                <w:rPr>
                  <w:rFonts w:ascii="Times New Roman" w:cs="Times New Roman" w:eastAsia="Times New Roman" w:hAnsi="Times New Roman"/>
                  <w:sz w:val="18"/>
                  <w:szCs w:val="18"/>
                  <w:color w:val="0000EE"/>
                </w:rPr>
                <w:t>(d)(3)</w:t>
              </w:r>
            </w:hyperlink>
          </w:p>
        </w:tc>
        <w:tc>
          <w:tcPr>
            <w:tcW w:w="104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Amended and Restated Investment Advisory Agreement, dated as of June 16, 2021, by and between the Company and the Adviser</w:t>
            </w:r>
          </w:p>
        </w:tc>
      </w:tr>
      <w:tr>
        <w:trPr>
          <w:trHeight w:val="218"/>
        </w:trPr>
        <w:tc>
          <w:tcPr>
            <w:tcW w:w="420" w:type="dxa"/>
            <w:vAlign w:val="bottom"/>
            <w:tcBorders>
              <w:top w:val="single" w:sz="8" w:color="0000EE"/>
            </w:tcBorders>
          </w:tcPr>
          <w:p>
            <w:pPr>
              <w:spacing w:after="0"/>
              <w:rPr>
                <w:sz w:val="18"/>
                <w:szCs w:val="18"/>
                <w:color w:val="auto"/>
              </w:rPr>
            </w:pPr>
          </w:p>
        </w:tc>
        <w:tc>
          <w:tcPr>
            <w:tcW w:w="360" w:type="dxa"/>
            <w:vAlign w:val="bottom"/>
          </w:tcPr>
          <w:p>
            <w:pPr>
              <w:spacing w:after="0"/>
              <w:rPr>
                <w:sz w:val="18"/>
                <w:szCs w:val="18"/>
                <w:color w:val="auto"/>
              </w:rPr>
            </w:pPr>
          </w:p>
        </w:tc>
        <w:tc>
          <w:tcPr>
            <w:tcW w:w="104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(incorporated by reference to Exhibit 10.1 to the Company’s Annual Report on Form 10-K for the fiscal year ended December 31, 2025</w:t>
            </w:r>
          </w:p>
        </w:tc>
      </w:tr>
      <w:tr>
        <w:trPr>
          <w:trHeight w:val="234"/>
        </w:trPr>
        <w:tc>
          <w:tcPr>
            <w:tcW w:w="4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4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filed on February 25, 2026).</w:t>
            </w:r>
          </w:p>
        </w:tc>
      </w:tr>
      <w:tr>
        <w:trPr>
          <w:trHeight w:val="392"/>
        </w:trPr>
        <w:tc>
          <w:tcPr>
            <w:tcW w:w="780" w:type="dxa"/>
            <w:vAlign w:val="bottom"/>
            <w:gridSpan w:val="2"/>
          </w:tcPr>
          <w:p>
            <w:pPr>
              <w:spacing w:after="0"/>
              <w:rPr>
                <w:rFonts w:ascii="Times New Roman" w:cs="Times New Roman" w:eastAsia="Times New Roman" w:hAnsi="Times New Roman"/>
                <w:sz w:val="18"/>
                <w:szCs w:val="18"/>
                <w:color w:val="0000EE"/>
              </w:rPr>
            </w:pPr>
            <w:hyperlink r:id="rId25">
              <w:r>
                <w:rPr>
                  <w:rFonts w:ascii="Times New Roman" w:cs="Times New Roman" w:eastAsia="Times New Roman" w:hAnsi="Times New Roman"/>
                  <w:sz w:val="18"/>
                  <w:szCs w:val="18"/>
                  <w:color w:val="0000EE"/>
                </w:rPr>
                <w:t>(d)(4)</w:t>
              </w:r>
            </w:hyperlink>
          </w:p>
        </w:tc>
        <w:tc>
          <w:tcPr>
            <w:tcW w:w="104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Administration Agreement, dated as of April 9, 2018, by and between the Company and the Adviser (incorporated by reference to Exhibit</w:t>
            </w:r>
          </w:p>
        </w:tc>
      </w:tr>
      <w:tr>
        <w:trPr>
          <w:trHeight w:val="237"/>
        </w:trPr>
        <w:tc>
          <w:tcPr>
            <w:tcW w:w="420" w:type="dxa"/>
            <w:vAlign w:val="bottom"/>
            <w:tcBorders>
              <w:top w:val="single" w:sz="8" w:color="0000EE"/>
            </w:tcBorders>
          </w:tcPr>
          <w:p>
            <w:pPr>
              <w:spacing w:after="0"/>
              <w:rPr>
                <w:sz w:val="20"/>
                <w:szCs w:val="20"/>
                <w:color w:val="auto"/>
              </w:rPr>
            </w:pPr>
          </w:p>
        </w:tc>
        <w:tc>
          <w:tcPr>
            <w:tcW w:w="360" w:type="dxa"/>
            <w:vAlign w:val="bottom"/>
          </w:tcPr>
          <w:p>
            <w:pPr>
              <w:spacing w:after="0"/>
              <w:rPr>
                <w:sz w:val="20"/>
                <w:szCs w:val="20"/>
                <w:color w:val="auto"/>
              </w:rPr>
            </w:pPr>
          </w:p>
        </w:tc>
        <w:tc>
          <w:tcPr>
            <w:tcW w:w="104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10.2 to the Company’s Annual Report on Form 10-K for the fiscal year ended December 31, 2025 filed on February 25, 2026).</w:t>
            </w:r>
          </w:p>
        </w:tc>
      </w:tr>
      <w:tr>
        <w:trPr>
          <w:trHeight w:val="391"/>
        </w:trPr>
        <w:tc>
          <w:tcPr>
            <w:tcW w:w="780" w:type="dxa"/>
            <w:vAlign w:val="bottom"/>
            <w:gridSpan w:val="2"/>
          </w:tcPr>
          <w:p>
            <w:pPr>
              <w:spacing w:after="0"/>
              <w:rPr>
                <w:rFonts w:ascii="Times New Roman" w:cs="Times New Roman" w:eastAsia="Times New Roman" w:hAnsi="Times New Roman"/>
                <w:sz w:val="18"/>
                <w:szCs w:val="18"/>
                <w:color w:val="0000EE"/>
              </w:rPr>
            </w:pPr>
            <w:hyperlink r:id="rId26">
              <w:r>
                <w:rPr>
                  <w:rFonts w:ascii="Times New Roman" w:cs="Times New Roman" w:eastAsia="Times New Roman" w:hAnsi="Times New Roman"/>
                  <w:sz w:val="18"/>
                  <w:szCs w:val="18"/>
                  <w:color w:val="0000EE"/>
                </w:rPr>
                <w:t>(d)(5)</w:t>
              </w:r>
            </w:hyperlink>
          </w:p>
        </w:tc>
        <w:tc>
          <w:tcPr>
            <w:tcW w:w="104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Amendment No. 1 to Third Amended and Restated Senior Secured Revolving Credit Agreement, dated as of May 8, 2026, by and among</w:t>
            </w:r>
          </w:p>
        </w:tc>
      </w:tr>
      <w:tr>
        <w:trPr>
          <w:trHeight w:val="218"/>
        </w:trPr>
        <w:tc>
          <w:tcPr>
            <w:tcW w:w="420" w:type="dxa"/>
            <w:vAlign w:val="bottom"/>
            <w:tcBorders>
              <w:top w:val="single" w:sz="8" w:color="0000EE"/>
            </w:tcBorders>
          </w:tcPr>
          <w:p>
            <w:pPr>
              <w:spacing w:after="0"/>
              <w:rPr>
                <w:sz w:val="18"/>
                <w:szCs w:val="18"/>
                <w:color w:val="auto"/>
              </w:rPr>
            </w:pPr>
          </w:p>
        </w:tc>
        <w:tc>
          <w:tcPr>
            <w:tcW w:w="360" w:type="dxa"/>
            <w:vAlign w:val="bottom"/>
          </w:tcPr>
          <w:p>
            <w:pPr>
              <w:spacing w:after="0"/>
              <w:rPr>
                <w:sz w:val="18"/>
                <w:szCs w:val="18"/>
                <w:color w:val="auto"/>
              </w:rPr>
            </w:pPr>
          </w:p>
        </w:tc>
        <w:tc>
          <w:tcPr>
            <w:tcW w:w="104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the Company, JPMorgan Chase Bank, N.A. and each of the lenders party thereto (incorporated by reference to Exhibit 10.1 to the</w:t>
            </w:r>
          </w:p>
        </w:tc>
      </w:tr>
      <w:tr>
        <w:trPr>
          <w:trHeight w:val="234"/>
        </w:trPr>
        <w:tc>
          <w:tcPr>
            <w:tcW w:w="4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4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Company’s Quarterly Report on Form 10-Q for the quarter ended March 31, 2026 filed on May 11, 2026).</w:t>
            </w:r>
          </w:p>
        </w:tc>
      </w:tr>
      <w:tr>
        <w:trPr>
          <w:trHeight w:val="391"/>
        </w:trPr>
        <w:tc>
          <w:tcPr>
            <w:tcW w:w="780" w:type="dxa"/>
            <w:vAlign w:val="bottom"/>
            <w:gridSpan w:val="2"/>
          </w:tcPr>
          <w:p>
            <w:pPr>
              <w:spacing w:after="0"/>
              <w:rPr>
                <w:rFonts w:ascii="Times New Roman" w:cs="Times New Roman" w:eastAsia="Times New Roman" w:hAnsi="Times New Roman"/>
                <w:sz w:val="18"/>
                <w:szCs w:val="18"/>
                <w:color w:val="0000EE"/>
              </w:rPr>
            </w:pPr>
            <w:hyperlink r:id="rId27">
              <w:r>
                <w:rPr>
                  <w:rFonts w:ascii="Times New Roman" w:cs="Times New Roman" w:eastAsia="Times New Roman" w:hAnsi="Times New Roman"/>
                  <w:sz w:val="18"/>
                  <w:szCs w:val="18"/>
                  <w:color w:val="0000EE"/>
                </w:rPr>
                <w:t>(d)(6)</w:t>
              </w:r>
            </w:hyperlink>
          </w:p>
        </w:tc>
        <w:tc>
          <w:tcPr>
            <w:tcW w:w="104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Underwriting Agreement, dated June 1, 2026, by and among the Company, the Adviser and BofA Securities, Inc., BMO Capital Markets</w:t>
            </w:r>
          </w:p>
        </w:tc>
      </w:tr>
      <w:tr>
        <w:trPr>
          <w:trHeight w:val="218"/>
        </w:trPr>
        <w:tc>
          <w:tcPr>
            <w:tcW w:w="420" w:type="dxa"/>
            <w:vAlign w:val="bottom"/>
            <w:tcBorders>
              <w:top w:val="single" w:sz="8" w:color="0000EE"/>
            </w:tcBorders>
          </w:tcPr>
          <w:p>
            <w:pPr>
              <w:spacing w:after="0"/>
              <w:rPr>
                <w:sz w:val="18"/>
                <w:szCs w:val="18"/>
                <w:color w:val="auto"/>
              </w:rPr>
            </w:pPr>
          </w:p>
        </w:tc>
        <w:tc>
          <w:tcPr>
            <w:tcW w:w="360" w:type="dxa"/>
            <w:vAlign w:val="bottom"/>
          </w:tcPr>
          <w:p>
            <w:pPr>
              <w:spacing w:after="0"/>
              <w:rPr>
                <w:sz w:val="18"/>
                <w:szCs w:val="18"/>
                <w:color w:val="auto"/>
              </w:rPr>
            </w:pPr>
          </w:p>
        </w:tc>
        <w:tc>
          <w:tcPr>
            <w:tcW w:w="104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Corp., J.P. Morgan Securities LLC, KKR Capital Markets LLC, RBC Capital Markets, LLC and SMBC Nikko Securities America, Inc., as</w:t>
            </w:r>
          </w:p>
        </w:tc>
      </w:tr>
      <w:tr>
        <w:trPr>
          <w:trHeight w:val="216"/>
        </w:trPr>
        <w:tc>
          <w:tcPr>
            <w:tcW w:w="4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4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representatives of the underwriters named in Schedule A thereto (incorporated by reference to Exhibit 1.1 to the Company’s Current Report</w:t>
            </w:r>
          </w:p>
        </w:tc>
      </w:tr>
      <w:tr>
        <w:trPr>
          <w:trHeight w:val="234"/>
        </w:trPr>
        <w:tc>
          <w:tcPr>
            <w:tcW w:w="4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4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on Form 8-K filed on June 2, 2026).</w:t>
            </w:r>
          </w:p>
        </w:tc>
      </w:tr>
    </w:tbl>
    <w:p>
      <w:pPr>
        <w:spacing w:after="0" w:line="198" w:lineRule="exact"/>
        <w:rPr>
          <w:sz w:val="20"/>
          <w:szCs w:val="20"/>
          <w:color w:val="auto"/>
        </w:rPr>
      </w:pPr>
    </w:p>
    <w:p>
      <w:pPr>
        <w:ind w:left="1140" w:hanging="1132"/>
        <w:spacing w:after="0"/>
        <w:tabs>
          <w:tab w:leader="none" w:pos="11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None.</w:t>
      </w:r>
    </w:p>
    <w:p>
      <w:pPr>
        <w:spacing w:after="0" w:line="225" w:lineRule="exact"/>
        <w:rPr>
          <w:rFonts w:ascii="Times New Roman" w:cs="Times New Roman" w:eastAsia="Times New Roman" w:hAnsi="Times New Roman"/>
          <w:sz w:val="18"/>
          <w:szCs w:val="18"/>
          <w:color w:val="auto"/>
        </w:rPr>
      </w:pPr>
    </w:p>
    <w:p>
      <w:pPr>
        <w:ind w:left="1140" w:hanging="1132"/>
        <w:spacing w:after="0"/>
        <w:tabs>
          <w:tab w:leader="none" w:pos="11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403225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4" w:name="page5"/>
    <w:bookmarkEnd w:id="4"/>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color w:val="auto"/>
        </w:rPr>
        <w:t>After due inquiry and to the best of my knowledge and belief, I certify that the information set forth in this statement is true, complete and correct.</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June 12, 2026</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KKR Alternative Assets L.P.</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KKR Alternative Assets Limited, its general partner</w:t>
      </w:r>
    </w:p>
    <w:p>
      <w:pPr>
        <w:spacing w:after="0" w:line="225"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Noah Greenhill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26035</wp:posOffset>
            </wp:positionV>
            <wp:extent cx="3206115"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9">
                      <a:extLst>
                        <a:ext uri="{28A0092B-C50C-407E-A947-70E740481C1C}"/>
                      </a:extLst>
                    </a:blip>
                    <a:srcRect/>
                    <a:stretch>
                      <a:fillRect/>
                    </a:stretch>
                  </pic:blipFill>
                  <pic:spPr bwMode="auto">
                    <a:xfrm>
                      <a:off x="0" y="0"/>
                      <a:ext cx="3206115" cy="17145"/>
                    </a:xfrm>
                    <a:prstGeom prst="rect">
                      <a:avLst/>
                    </a:prstGeom>
                    <a:noFill/>
                  </pic:spPr>
                </pic:pic>
              </a:graphicData>
            </a:graphic>
          </wp:anchor>
        </w:drawing>
      </w:r>
    </w:p>
    <w:p>
      <w:pPr>
        <w:spacing w:after="0" w:line="30"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Name: Noah Greenhill</w:t>
      </w:r>
    </w:p>
    <w:p>
      <w:pPr>
        <w:spacing w:after="0" w:line="27"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Title: Authorized Signatory</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KKR Alternative Assets Limited</w:t>
      </w:r>
    </w:p>
    <w:p>
      <w:pPr>
        <w:spacing w:after="0" w:line="229"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Noah Greenhill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26035</wp:posOffset>
            </wp:positionV>
            <wp:extent cx="3206115"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30">
                      <a:extLst>
                        <a:ext uri="{28A0092B-C50C-407E-A947-70E740481C1C}"/>
                      </a:extLst>
                    </a:blip>
                    <a:srcRect/>
                    <a:stretch>
                      <a:fillRect/>
                    </a:stretch>
                  </pic:blipFill>
                  <pic:spPr bwMode="auto">
                    <a:xfrm>
                      <a:off x="0" y="0"/>
                      <a:ext cx="3206115" cy="17145"/>
                    </a:xfrm>
                    <a:prstGeom prst="rect">
                      <a:avLst/>
                    </a:prstGeom>
                    <a:noFill/>
                  </pic:spPr>
                </pic:pic>
              </a:graphicData>
            </a:graphic>
          </wp:anchor>
        </w:drawing>
      </w:r>
    </w:p>
    <w:p>
      <w:pPr>
        <w:spacing w:after="0" w:line="30"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Name: Noah Greenhill</w:t>
      </w:r>
    </w:p>
    <w:p>
      <w:pPr>
        <w:spacing w:after="0" w:line="27"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Title: Authorized 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340360</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00"/>
      </w:cols>
      <w:pgMar w:left="320" w:top="333"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25558EC"/>
    <w:multiLevelType w:val="hybridMultilevel"/>
    <w:lvl w:ilvl="0">
      <w:lvlJc w:val="left"/>
      <w:lvlText w:val="☐"/>
      <w:numFmt w:val="bullet"/>
      <w:start w:val="1"/>
    </w:lvl>
  </w:abstractNum>
  <w:abstractNum w:abstractNumId="1">
    <w:nsid w:val="238E1F29"/>
    <w:multiLevelType w:val="hybridMultilevel"/>
    <w:lvl w:ilvl="0">
      <w:lvlJc w:val="left"/>
      <w:lvlText w:val="☒"/>
      <w:numFmt w:val="bullet"/>
      <w:start w:val="1"/>
    </w:lvl>
  </w:abstractNum>
  <w:abstractNum w:abstractNumId="2">
    <w:nsid w:val="46E87CCD"/>
    <w:multiLevelType w:val="hybridMultilevel"/>
    <w:lvl w:ilvl="0">
      <w:lvlJc w:val="left"/>
      <w:lvlText w:val="☐"/>
      <w:numFmt w:val="bullet"/>
      <w:start w:val="1"/>
    </w:lvl>
  </w:abstractNum>
  <w:abstractNum w:abstractNumId="3">
    <w:nsid w:val="3D1B58BA"/>
    <w:multiLevelType w:val="hybridMultilevel"/>
    <w:lvl w:ilvl="0">
      <w:lvlJc w:val="left"/>
      <w:lvlText w:val="☐"/>
      <w:numFmt w:val="bullet"/>
      <w:start w:val="1"/>
    </w:lvl>
  </w:abstractNum>
  <w:abstractNum w:abstractNumId="4">
    <w:nsid w:val="507ED7AB"/>
    <w:multiLevelType w:val="hybridMultilevel"/>
    <w:lvl w:ilvl="0">
      <w:lvlJc w:val="left"/>
      <w:lvlText w:val="•"/>
      <w:numFmt w:val="bullet"/>
      <w:start w:val="1"/>
    </w:lvl>
  </w:abstractNum>
  <w:abstractNum w:abstractNumId="5">
    <w:nsid w:val="2EB141F2"/>
    <w:multiLevelType w:val="hybridMultilevel"/>
    <w:lvl w:ilvl="0">
      <w:lvlJc w:val="left"/>
      <w:lvlText w:val="(%1)"/>
      <w:numFmt w:val="lowerLetter"/>
      <w:start w:val="2"/>
    </w:lvl>
  </w:abstractNum>
  <w:abstractNum w:abstractNumId="6">
    <w:nsid w:val="41B71EFB"/>
    <w:multiLevelType w:val="hybridMultilevel"/>
    <w:lvl w:ilvl="0">
      <w:lvlJc w:val="left"/>
      <w:lvlText w:val="(%1)"/>
      <w:numFmt w:val="lowerLetter"/>
      <w:start w:val="7"/>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28" Type="http://schemas.openxmlformats.org/officeDocument/2006/relationships/image" Target="media/image11.png"/><Relationship Id="rId29" Type="http://schemas.openxmlformats.org/officeDocument/2006/relationships/image" Target="media/image12.png"/><Relationship Id="rId30" Type="http://schemas.openxmlformats.org/officeDocument/2006/relationships/image" Target="media/image13.png"/><Relationship Id="rId31" Type="http://schemas.openxmlformats.org/officeDocument/2006/relationships/image" Target="media/image14.png"/><Relationship Id="rId18" Type="http://schemas.openxmlformats.org/officeDocument/2006/relationships/hyperlink" Target="https://www.sec.gov/Archives/edgar/data/1422183/000114036126020704/ny20072853x2_exa1a.htm" TargetMode="External"/><Relationship Id="rId19" Type="http://schemas.openxmlformats.org/officeDocument/2006/relationships/hyperlink" Target="https://www.sec.gov/Archives/edgar/data/1422183/000114036126020704/ny20072853x2_exa1b.htm" TargetMode="External"/><Relationship Id="rId20" Type="http://schemas.openxmlformats.org/officeDocument/2006/relationships/hyperlink" Target="https://www.sec.gov/Archives/edgar/data/1422183/000114036126020502/ny20072853x1_ex99-1.htm" TargetMode="External"/><Relationship Id="rId21" Type="http://schemas.openxmlformats.org/officeDocument/2006/relationships/hyperlink" Target="https://www.sec.gov/Archives/edgar/data/1422183/000114036126020704/ny20072853x2_exa1d.htm" TargetMode="External"/><Relationship Id="rId22" Type="http://schemas.openxmlformats.org/officeDocument/2006/relationships/hyperlink" Target="https://www.sec.gov/Archives/edgar/data/1422183/000110465926058250/tm2614112d1_ex10-1.htm" TargetMode="External"/><Relationship Id="rId23" Type="http://schemas.openxmlformats.org/officeDocument/2006/relationships/hyperlink" Target="https://www.sec.gov/Archives/edgar/data/1422183/000110465925046761/tm2514596d1_ex1-1.htm" TargetMode="External"/><Relationship Id="rId24" Type="http://schemas.openxmlformats.org/officeDocument/2006/relationships/hyperlink" Target="https://www.sec.gov/Archives/edgar/data/1422183/000119312521192219/d175618dex101.htm" TargetMode="External"/><Relationship Id="rId25" Type="http://schemas.openxmlformats.org/officeDocument/2006/relationships/hyperlink" Target="https://www.sec.gov/Archives/edgar/data/1422183/000119312518111587/d563776dex102.htm" TargetMode="External"/><Relationship Id="rId26" Type="http://schemas.openxmlformats.org/officeDocument/2006/relationships/hyperlink" Target="https://www.sec.gov/Archives/edgar/data/1422183/000162828026033118/exhibit101fskkr-amendmentn.htm" TargetMode="External"/><Relationship Id="rId27" Type="http://schemas.openxmlformats.org/officeDocument/2006/relationships/hyperlink" Target="https://www.sec.gov/Archives/edgar/data/1422183/000110465926069537/tm2616700d2_ex1-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2026-06-12T10:08:46Z</dcterms:created>
  <dcterms:modified xsi:type="dcterms:W3CDTF">2026-06-12T10:08:46Z</dcterms:modified>
</cp:coreProperties>
</file>