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184150</wp:posOffset>
            </wp:positionV>
            <wp:extent cx="1371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0" w:lineRule="exact"/>
        <w:rPr>
          <w:sz w:val="24"/>
          <w:szCs w:val="24"/>
          <w:color w:val="auto"/>
        </w:rPr>
      </w:pPr>
    </w:p>
    <w:p>
      <w:pPr>
        <w:ind w:left="4712"/>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8" w:lineRule="exact"/>
        <w:rPr>
          <w:sz w:val="24"/>
          <w:szCs w:val="24"/>
          <w:color w:val="auto"/>
        </w:rPr>
      </w:pPr>
    </w:p>
    <w:p>
      <w:pPr>
        <w:ind w:left="2672"/>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ind w:left="3852"/>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193040</wp:posOffset>
            </wp:positionV>
            <wp:extent cx="1371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L.P.</w:t>
      </w:r>
    </w:p>
    <w:p>
      <w:pPr>
        <w:spacing w:after="0" w:line="6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Limited</w:t>
      </w: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302635206</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Noah Greenhill,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 Hudson Yards</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750-8300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210185</wp:posOffset>
            </wp:positionV>
            <wp:extent cx="1371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Kenneth Wallach,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Lesley Peng,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Patrick Baron,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194310</wp:posOffset>
            </wp:positionV>
            <wp:extent cx="1371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652" w:right="1180" w:hanging="652"/>
        <w:spacing w:after="0" w:line="477"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652" w:hanging="652"/>
        <w:spacing w:after="0"/>
        <w:tabs>
          <w:tab w:leader="none" w:pos="6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 private transaction subject to Rule 13e-3</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rFonts w:ascii="MS PGothic" w:cs="MS PGothic" w:eastAsia="MS PGothic" w:hAnsi="MS PGothic"/>
          <w:sz w:val="18"/>
          <w:szCs w:val="18"/>
          <w:color w:val="auto"/>
        </w:rPr>
      </w:pPr>
    </w:p>
    <w:p>
      <w:pPr>
        <w:ind w:left="652"/>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5" w:lineRule="exact"/>
        <w:rPr>
          <w:rFonts w:ascii="MS PGothic" w:cs="MS PGothic" w:eastAsia="MS PGothic" w:hAnsi="MS PGothic"/>
          <w:sz w:val="18"/>
          <w:szCs w:val="18"/>
          <w:color w:val="auto"/>
        </w:rPr>
      </w:pPr>
    </w:p>
    <w:p>
      <w:pPr>
        <w:ind w:left="652"/>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50" w:orient="portrait"/>
          <w:cols w:equalWidth="0" w:num="1">
            <w:col w:w="10652"/>
          </w:cols>
          <w:pgMar w:left="328" w:top="732" w:right="919" w:bottom="0" w:gutter="0" w:footer="0" w:header="0"/>
        </w:sectPr>
      </w:pPr>
    </w:p>
    <w:bookmarkStart w:id="1" w:name="page2"/>
    <w:bookmarkEnd w:id="1"/>
    <w:p>
      <w:pPr>
        <w:spacing w:after="0"/>
        <w:tabs>
          <w:tab w:leader="none" w:pos="65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originally filed by KKR Alternative Assets L.P., a Delaware limited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on May 12, 2026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in connection with the Purchaser’s offer to purchase up to $150,000,000 in aggregate amount of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FS KKR Capital Corp., a Maryland corporation, at a price equal to $11.00 per share, less any applicable withholding taxes and without interest, upon the terms and subject to the conditions set forth in the Offer to Purchase dated May 12,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which was previously filed with the Schedule TO as Exhibit (a)(1)(A), and in the related Letter of Transmittal, which was previously filed with the Schedule TO as Exhibit (a)(1)(B), which, together with this Amendment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KKR Alternative Assets Limited, the general partner of the Purchaser, is being named as a bidder in in this Amendment because it is deemed to control the Purchaser, but otherwise is not participating in the Offer.</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This Amendment should be read together with the Schedule TO. Capitalized terms used and not otherwise defined in this Amendment shall have the meanings assigned to such terms in the Schedule TO and the Offer to Purchase.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Past Contacts, Transactions, Negotiations and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the Offer to Purchase and Item 5 of the Schedule TO, to the extent such Item incorporates by reference the information contained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Purchase, is hereby amended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 “Background of the Offer; Past Contacts, Transactions, Negotiations and Agreements—Past Contacts, Transactions, Negotiations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Agreements—Purchase Agreement” is amended and supplemented by adding the following to the end of the first paragraph of such Section: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cap on such 1.00% per annum increases.”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Purposes of the Transaction and Plans or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the Offer to Purchase and Item 6 of the Schedule TO, to the extent such Item incorporates by reference the information contained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Purchase, is hereby amended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 “Purpose of the Offer and Plans for the Company” is amended by deleting the first paragraph and restating it as follows:</w:t>
      </w:r>
    </w:p>
    <w:p>
      <w:pPr>
        <w:spacing w:after="0" w:line="225"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Offer is being made for the purpose of supporting the share price of the Company. On May 10, 2026, the Purchaser entered into the Purchase Agreement to purchase $150,000,000 in Convertible Preferred Stock. The Purchase Agreement for Convertible Preferred Stock was entered into for the purpose of supporting the Company through a direct investment. The closing of the purchase is subject to the expiration of the Offer and other customary closing conditions and the expiration or termination of the applicable waiting period under the Hart-Scott-Rodino Antitrust Improvements Act of 1976, as amended (See Section 13 — “Conditions of the Offer”). The Purchaser presently expects that it will retain the Shares it purchases pursuant to the Offer.”</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the Offer to Purchase and Item 11 of the Schedule TO, to the extent such Item incorporates by reference the information contained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Purchase, is hereby amended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cover page of the Offer to Purchase is amended by deleting the third paragraph and restating it as follows:</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net asset value per Share at March 31, 2026 (the last date prior to the commencement of the Offer for which the Company 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 asset value) was $18.83</w:t>
      </w:r>
      <w:r>
        <w:rPr>
          <w:rFonts w:ascii="Times New Roman" w:cs="Times New Roman" w:eastAsia="Times New Roman" w:hAnsi="Times New Roman"/>
          <w:sz w:val="18"/>
          <w:szCs w:val="18"/>
          <w:color w:val="auto"/>
        </w:rPr>
        <w:t>. The Company’s net asset value per Share is determined on no less than a quarterly basis (or at such other times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board of directors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may determine), based on the valuation of the Company’s portfolio investments at fair value as determined in good faith pursuant to the valuation policy of FS/KKR Advisor,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 Delaware limited liability company, which serves as the investment adviser to the Company. The Adviser is a registered investment adviser under the Investment Advisers Act of 1940, as amended, and is jointly operated by KKR Credit Advisors (US) LLC (“</w:t>
      </w:r>
      <w:r>
        <w:rPr>
          <w:rFonts w:ascii="Times New Roman" w:cs="Times New Roman" w:eastAsia="Times New Roman" w:hAnsi="Times New Roman"/>
          <w:sz w:val="18"/>
          <w:szCs w:val="18"/>
          <w:b w:val="1"/>
          <w:bCs w:val="1"/>
          <w:color w:val="auto"/>
        </w:rPr>
        <w:t>KKR Credit</w:t>
      </w:r>
      <w:r>
        <w:rPr>
          <w:rFonts w:ascii="Times New Roman" w:cs="Times New Roman" w:eastAsia="Times New Roman" w:hAnsi="Times New Roman"/>
          <w:sz w:val="18"/>
          <w:szCs w:val="18"/>
          <w:color w:val="auto"/>
        </w:rPr>
        <w:t>”) and FSJV Holdco, LLC, an affiliate of Franklin Square Holdings L.P. (which does business as Future Standard, formerly FS Investments). Stockholders can find additional net asset values for the Shares at www.fskkrcapitalcorp.com (the “</w:t>
      </w:r>
      <w:r>
        <w:rPr>
          <w:rFonts w:ascii="Times New Roman" w:cs="Times New Roman" w:eastAsia="Times New Roman" w:hAnsi="Times New Roman"/>
          <w:sz w:val="18"/>
          <w:szCs w:val="18"/>
          <w:b w:val="1"/>
          <w:bCs w:val="1"/>
          <w:color w:val="auto"/>
        </w:rPr>
        <w:t>Company’s website</w:t>
      </w:r>
      <w:r>
        <w:rPr>
          <w:rFonts w:ascii="Times New Roman" w:cs="Times New Roman" w:eastAsia="Times New Roman" w:hAnsi="Times New Roman"/>
          <w:sz w:val="18"/>
          <w:szCs w:val="18"/>
          <w:color w:val="auto"/>
        </w:rPr>
        <w:t>”). The contents of the Company’s website are not intended to be incorporated by reference into this communication, and any references to the Company’s website herein are intended to be inactive textual references only. The Shares are currently listed and traded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under the symbol “FSK.” On May 11, 2026 the closing price of the Shares on the NYSE was $10.76 per Share. Stockholders are urged to obtain current market quotations for the Shares before deciding whether to tender their Shares.”</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740" w:type="dxa"/>
            <w:vAlign w:val="bottom"/>
            <w:gridSpan w:val="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(a)(1)(A)</w:t>
              </w:r>
            </w:hyperlink>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Offer to Purchase (incorporated by reference to Exhibit (a)(1)(A) to the Schedule TO-T filed by the Purchaser on May 12, 2026).</w:t>
            </w:r>
          </w:p>
        </w:tc>
      </w:tr>
      <w:tr>
        <w:trPr>
          <w:trHeight w:val="412"/>
        </w:trPr>
        <w:tc>
          <w:tcPr>
            <w:tcW w:w="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(a)(1)(B)</w:t>
              </w:r>
            </w:hyperlink>
          </w:p>
        </w:tc>
        <w:tc>
          <w:tcPr>
            <w:tcW w:w="80" w:type="dxa"/>
            <w:vAlign w:val="bottom"/>
          </w:tcPr>
          <w:p>
            <w:pPr>
              <w:spacing w:after="0"/>
              <w:rPr>
                <w:sz w:val="24"/>
                <w:szCs w:val="24"/>
                <w:color w:val="auto"/>
              </w:rPr>
            </w:pPr>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Letter of Transmittal (including Internal Revenue Service Form W-9) (incorporated by reference to Exhibit (a)(1)(B) to the Schedule</w:t>
            </w:r>
          </w:p>
        </w:tc>
      </w:tr>
      <w:tr>
        <w:trPr>
          <w:trHeight w:val="237"/>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 filed by the Purchaser on May 12, 2026).</w:t>
            </w:r>
          </w:p>
        </w:tc>
      </w:tr>
      <w:tr>
        <w:trPr>
          <w:trHeight w:val="391"/>
        </w:trPr>
        <w:tc>
          <w:tcPr>
            <w:tcW w:w="740" w:type="dxa"/>
            <w:vAlign w:val="bottom"/>
            <w:gridSpan w:val="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(a)(1)(C)</w:t>
              </w:r>
            </w:hyperlink>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Press Release issued by the Purchaser on May 11, 2026 (incorporated by reference to Exhibit 99.1 to the Schedule TO-C filed by the</w:t>
            </w:r>
          </w:p>
        </w:tc>
      </w:tr>
      <w:tr>
        <w:trPr>
          <w:trHeight w:val="237"/>
        </w:trPr>
        <w:tc>
          <w:tcPr>
            <w:tcW w:w="6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Purchaser on May 11, 2026).</w:t>
            </w:r>
          </w:p>
        </w:tc>
      </w:tr>
      <w:tr>
        <w:trPr>
          <w:trHeight w:val="392"/>
        </w:trPr>
        <w:tc>
          <w:tcPr>
            <w:tcW w:w="740" w:type="dxa"/>
            <w:vAlign w:val="bottom"/>
            <w:gridSpan w:val="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(a)(1)(D)</w:t>
              </w:r>
            </w:hyperlink>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 xml:space="preserve">Summary Advertisement as published in </w:t>
            </w:r>
            <w:r>
              <w:rPr>
                <w:rFonts w:ascii="Times New Roman" w:cs="Times New Roman" w:eastAsia="Times New Roman" w:hAnsi="Times New Roman"/>
                <w:sz w:val="18"/>
                <w:szCs w:val="18"/>
                <w:i w:val="1"/>
                <w:iCs w:val="1"/>
                <w:color w:val="auto"/>
                <w:w w:val="99"/>
              </w:rPr>
              <w:t>The Wall Street Journal</w:t>
            </w:r>
            <w:r>
              <w:rPr>
                <w:rFonts w:ascii="Times New Roman" w:cs="Times New Roman" w:eastAsia="Times New Roman" w:hAnsi="Times New Roman"/>
                <w:sz w:val="18"/>
                <w:szCs w:val="18"/>
                <w:color w:val="auto"/>
                <w:w w:val="99"/>
              </w:rPr>
              <w:t xml:space="preserve"> on May 12, 2026 (incorporated by reference to Exhibit (a)(1)(D) to</w:t>
            </w:r>
          </w:p>
        </w:tc>
      </w:tr>
      <w:tr>
        <w:trPr>
          <w:trHeight w:val="237"/>
        </w:trPr>
        <w:tc>
          <w:tcPr>
            <w:tcW w:w="6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Schedule TO-T filed by the Purchaser on May 12, 2026).</w:t>
            </w:r>
          </w:p>
        </w:tc>
      </w:tr>
    </w:tbl>
    <w:p>
      <w:pPr>
        <w:spacing w:after="0" w:line="198" w:lineRule="exact"/>
        <w:rPr>
          <w:sz w:val="20"/>
          <w:szCs w:val="20"/>
          <w:color w:val="auto"/>
        </w:rPr>
      </w:pPr>
    </w:p>
    <w:p>
      <w:pPr>
        <w:ind w:left="1520" w:hanging="1512"/>
        <w:spacing w:after="0"/>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(d)(1)</w:t>
              </w:r>
            </w:hyperlink>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Agreement, dated May 10, 2026, by and between the Purchaser and the Company (incorporated by reference to Exhibit 10.1</w:t>
            </w:r>
          </w:p>
        </w:tc>
      </w:tr>
      <w:tr>
        <w:trPr>
          <w:trHeight w:val="237"/>
        </w:trPr>
        <w:tc>
          <w:tcPr>
            <w:tcW w:w="4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the Company’s Current Report on Form 8-K filed on May 11, 2026).</w:t>
            </w:r>
          </w:p>
        </w:tc>
      </w:tr>
      <w:tr>
        <w:trPr>
          <w:trHeight w:val="391"/>
        </w:trPr>
        <w:tc>
          <w:tcPr>
            <w:tcW w:w="980" w:type="dxa"/>
            <w:vAlign w:val="bottom"/>
            <w:gridSpan w:val="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(d)(2)</w:t>
              </w:r>
            </w:hyperlink>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Equity Distribution Agreement (incorporated by reference to Exhibit 10.23 to the Company’s Annual Report on Form 10-K</w:t>
            </w:r>
          </w:p>
        </w:tc>
      </w:tr>
      <w:tr>
        <w:trPr>
          <w:trHeight w:val="237"/>
        </w:trPr>
        <w:tc>
          <w:tcPr>
            <w:tcW w:w="4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the fiscal year ended December 31, 2025 filed on February 25, 2026).</w:t>
            </w:r>
          </w:p>
        </w:tc>
      </w:tr>
      <w:tr>
        <w:trPr>
          <w:trHeight w:val="392"/>
        </w:trPr>
        <w:tc>
          <w:tcPr>
            <w:tcW w:w="980" w:type="dxa"/>
            <w:vAlign w:val="bottom"/>
            <w:gridSpan w:val="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(d)(3)</w:t>
              </w:r>
            </w:hyperlink>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Amended and Restated Investment Advisory Agreement, dated as of June 16, 2021, by and between the Company and the Adviser</w:t>
            </w:r>
          </w:p>
        </w:tc>
      </w:tr>
      <w:tr>
        <w:trPr>
          <w:trHeight w:val="218"/>
        </w:trPr>
        <w:tc>
          <w:tcPr>
            <w:tcW w:w="4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Annual Report on Form 10-K for the fiscal year ended December 31,</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filed on February 25, 2026).</w:t>
            </w:r>
          </w:p>
        </w:tc>
      </w:tr>
      <w:tr>
        <w:trPr>
          <w:trHeight w:val="392"/>
        </w:trPr>
        <w:tc>
          <w:tcPr>
            <w:tcW w:w="98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(d)(4)</w:t>
              </w:r>
            </w:hyperlink>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Administration Agreement, dated as of April 9, 2018, by and between the Company and the Adviser (incorporated by reference to</w:t>
            </w:r>
          </w:p>
        </w:tc>
      </w:tr>
      <w:tr>
        <w:trPr>
          <w:trHeight w:val="237"/>
        </w:trPr>
        <w:tc>
          <w:tcPr>
            <w:tcW w:w="4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Exhibit 10.2 to the Company’s Annual Report on Form 10-K for the fiscal year ended December 31, 2025 filed on February 25, 2026).</w:t>
            </w:r>
          </w:p>
        </w:tc>
      </w:tr>
      <w:tr>
        <w:trPr>
          <w:trHeight w:val="391"/>
        </w:trPr>
        <w:tc>
          <w:tcPr>
            <w:tcW w:w="980" w:type="dxa"/>
            <w:vAlign w:val="bottom"/>
            <w:gridSpan w:val="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(d)(5)</w:t>
              </w:r>
            </w:hyperlink>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Amendment No. 1 to Third Amended and Restated Senior Secured Revolving Credit Agreement, dated as of May 8, 2026, by and</w:t>
            </w:r>
          </w:p>
        </w:tc>
      </w:tr>
      <w:tr>
        <w:trPr>
          <w:trHeight w:val="218"/>
        </w:trPr>
        <w:tc>
          <w:tcPr>
            <w:tcW w:w="42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among the Company, JPMorgan Chase Bank, N.A. and each of the lenders party thereto (incorporated by reference to Exhibit 10.1 to</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Company’s Quarterly Report on Form 10-Q for the quarter ended March 31, 2026 filed on May 11, 2026).</w:t>
            </w:r>
          </w:p>
        </w:tc>
      </w:tr>
    </w:tbl>
    <w:p>
      <w:pPr>
        <w:spacing w:after="0" w:line="198" w:lineRule="exact"/>
        <w:rPr>
          <w:sz w:val="20"/>
          <w:szCs w:val="20"/>
          <w:color w:val="auto"/>
        </w:rPr>
      </w:pPr>
    </w:p>
    <w:p>
      <w:pPr>
        <w:ind w:left="1520" w:hanging="1512"/>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520" w:hanging="1512"/>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KKR Alternative Assets Limited,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2575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257550" cy="1714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Name:</w:t>
        <w:tab/>
        <w:t>Noah Greenhill</w:t>
      </w:r>
    </w:p>
    <w:p>
      <w:pPr>
        <w:spacing w:after="0" w:line="2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Limited</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2575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257550" cy="1714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Name:</w:t>
        <w:tab/>
        <w:t>Noah Greenhill</w:t>
      </w:r>
    </w:p>
    <w:p>
      <w:pPr>
        <w:spacing w:after="0" w:line="2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9" Type="http://schemas.openxmlformats.org/officeDocument/2006/relationships/hyperlink" Target="https://www.sec.gov/Archives/edgar/data/1422183/000114036126020704/ny20072853x2_exa1a.htm" TargetMode="External"/><Relationship Id="rId20" Type="http://schemas.openxmlformats.org/officeDocument/2006/relationships/hyperlink" Target="https://www.sec.gov/Archives/edgar/data/1422183/000114036126020704/ny20072853x2_exa1b.htm" TargetMode="External"/><Relationship Id="rId21" Type="http://schemas.openxmlformats.org/officeDocument/2006/relationships/hyperlink" Target="https://www.sec.gov/Archives/edgar/data/1422183/000114036126020502/ny20072853x1_ex99-1.htm" TargetMode="External"/><Relationship Id="rId22" Type="http://schemas.openxmlformats.org/officeDocument/2006/relationships/hyperlink" Target="https://www.sec.gov/Archives/edgar/data/1422183/000114036126020704/ny20072853x2_exa1d.htm" TargetMode="External"/><Relationship Id="rId23" Type="http://schemas.openxmlformats.org/officeDocument/2006/relationships/hyperlink" Target="https://www.sec.gov/Archives/edgar/data/1422183/000110465926058250/tm2614112d1_ex10-1.htm" TargetMode="External"/><Relationship Id="rId24" Type="http://schemas.openxmlformats.org/officeDocument/2006/relationships/hyperlink" Target="https://www.sec.gov/Archives/edgar/data/1422183/000110465925046761/tm2514596d1_ex1-1.htm" TargetMode="External"/><Relationship Id="rId25" Type="http://schemas.openxmlformats.org/officeDocument/2006/relationships/hyperlink" Target="https://www.sec.gov/Archives/edgar/data/1422183/000119312521192219/d175618dex101.htm" TargetMode="External"/><Relationship Id="rId26" Type="http://schemas.openxmlformats.org/officeDocument/2006/relationships/hyperlink" Target="https://www.sec.gov/Archives/edgar/data/1422183/000119312518111587/d563776dex102.htm" TargetMode="External"/><Relationship Id="rId27" Type="http://schemas.openxmlformats.org/officeDocument/2006/relationships/hyperlink" Target="https://www.sec.gov/Archives/edgar/data/1422183/000162828026033118/exhibit101fskkr-amendment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2026-05-22T16:10:17Z</dcterms:created>
  <dcterms:modified xsi:type="dcterms:W3CDTF">2026-05-22T16:10:17Z</dcterms:modified>
</cp:coreProperties>
</file>