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811d2_sc14d9a.htm"/>
      <w:bookmarkStart w:id="1" w:name="kstm2617811d2_sc14d9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14D-9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SOLICITATION/RECOMMENDATION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SECTION 14(d)(4)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FS KKR Capital Corp.</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(Name of Subject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FS KKR Capital Corp.</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(Names of Persons Filing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 $0.001 PAR VALUE PER SHARE</w:t>
        <w:br/>
      </w: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302635 206</w:t>
        <w:br/>
      </w:r>
      <w:r>
        <w:rPr>
          <w:rFonts w:ascii="Times New Roman;Times;Serif" w:hAnsi="Times New Roman;Times;Serif"/>
          <w:b w:val="false"/>
          <w:i w:val="false"/>
          <w:caps w:val="false"/>
          <w:smallCaps w:val="false"/>
          <w:sz w:val="20"/>
        </w:rPr>
        <w:t>(CUSIP Number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C. Forman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FS KKR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3025 JFK Boulevard, OFC 500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Philadelphia, PA 19104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 495-1150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numbers of person authorized to receive</w:t>
        <w:br/>
        <w:t>notices and communications on behalf of the persons filing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215"/>
        <w:gridCol w:w="60"/>
        <w:gridCol w:w="2420"/>
      </w:tblGrid>
      <w:tr>
        <w:trPr/>
        <w:tc>
          <w:tcPr>
            <w:tcW w:w="3215" w:type="dxa"/>
            <w:tcBorders/>
            <w:vAlign w:val="center"/>
          </w:tcPr>
          <w:p>
            <w:pPr>
              <w:pStyle w:val="TableContents"/>
              <w:bidi w:val="0"/>
              <w:spacing w:before="0" w:after="283"/>
              <w:jc w:val="center"/>
              <w:rPr>
                <w:b/>
              </w:rPr>
            </w:pPr>
            <w:r>
              <w:rPr>
                <w:b/>
              </w:rPr>
              <w:t>Stephen S. Sypherd</w:t>
              <w:br/>
              <w:t>General Counsel and Secretary</w:t>
              <w:br/>
              <w:t>FS KKR Capital Corp.</w:t>
              <w:br/>
              <w:t>3025 JFK Boulevard, OFC 500</w:t>
              <w:br/>
              <w:t>Philadelphia, PA 19104</w:t>
              <w:br/>
              <w:t>(215) 495-1150</w:t>
            </w:r>
          </w:p>
        </w:tc>
        <w:tc>
          <w:tcPr>
            <w:tcW w:w="60" w:type="dxa"/>
            <w:tcBorders/>
            <w:vAlign w:val="center"/>
          </w:tcPr>
          <w:p>
            <w:pPr>
              <w:pStyle w:val="TableContents"/>
              <w:bidi w:val="0"/>
              <w:spacing w:before="0" w:after="283"/>
              <w:jc w:val="center"/>
              <w:rPr/>
            </w:pPr>
            <w:r>
              <w:rPr/>
              <w:t> </w:t>
            </w:r>
          </w:p>
        </w:tc>
        <w:tc>
          <w:tcPr>
            <w:tcW w:w="2420" w:type="dxa"/>
            <w:tcBorders/>
            <w:vAlign w:val="center"/>
          </w:tcPr>
          <w:p>
            <w:pPr>
              <w:pStyle w:val="TableContents"/>
              <w:bidi w:val="0"/>
              <w:spacing w:before="0" w:after="283"/>
              <w:jc w:val="center"/>
              <w:rPr>
                <w:b/>
              </w:rPr>
            </w:pPr>
            <w:r>
              <w:rPr>
                <w:b/>
              </w:rPr>
              <w:t>Eric S. Siegel, Esq.</w:t>
              <w:br/>
              <w:t>Clay Douglas, Esq.</w:t>
              <w:br/>
              <w:t>Dechert LLP</w:t>
              <w:br/>
              <w:t>Cira Centre</w:t>
              <w:br/>
              <w:t>2929 Arch Street</w:t>
              <w:br/>
              <w:t>Philadelphia, PA 19104</w:t>
              <w:br/>
              <w:t>Tel: (215) 994-4000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Check the box if the filing relates solely to preliminary communications made before the commencement of a tender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5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amends and supplements the Solicitation/Recommendation Statement on Schedule 14D-9 previously filed by FS KKR Capital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Maryland corporation,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May 12, 2026, as amended by Amendment No. 1 filed with the SEC on May 22, 2026, Amendment No. 2 filed with the SEC on June 2, 2026, Amendment No. 3 filed with the SEC on June 5, 2026 and Amendment No. 4 filed with the SEC on June 12, 2026 (as amended, the “</w:t>
      </w:r>
      <w:r>
        <w:rPr>
          <w:rFonts w:ascii="Times New Roman;Times;Serif" w:hAnsi="Times New Roman;Times;Serif"/>
          <w:b/>
          <w:i w:val="false"/>
          <w:caps w:val="false"/>
          <w:smallCaps w:val="false"/>
          <w:sz w:val="20"/>
        </w:rPr>
        <w:t>Schedule 14D-9</w:t>
      </w:r>
      <w:r>
        <w:rPr>
          <w:rFonts w:ascii="Times New Roman;Times;Serif" w:hAnsi="Times New Roman;Times;Serif"/>
          <w:b w:val="false"/>
          <w:i w:val="false"/>
          <w:caps w:val="false"/>
          <w:smallCaps w:val="false"/>
          <w:sz w:val="20"/>
        </w:rPr>
        <w:t>”), relating to the tender offer by KKR Alternative Assets L.P.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 Delaware limited partnership, to purchase up to $150,000,000 in aggregate amount of the Company’s common stock, par value $0.001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at a price equal to $11.00 per Share, less any applicable withholding taxes and without interest, upon the terms and subject to the conditions set forth in the Offer to Purchase dated May 12, 2026 (as amended or supplemented to date, the “</w:t>
      </w:r>
      <w:r>
        <w:rPr>
          <w:rFonts w:ascii="Times New Roman;Times;Serif" w:hAnsi="Times New Roman;Times;Serif"/>
          <w:b/>
          <w:i w:val="false"/>
          <w:caps w:val="false"/>
          <w:smallCaps w:val="false"/>
          <w:sz w:val="20"/>
        </w:rPr>
        <w:t>Offer to Purchase</w:t>
      </w:r>
      <w:r>
        <w:rPr>
          <w:rFonts w:ascii="Times New Roman;Times;Serif" w:hAnsi="Times New Roman;Times;Serif"/>
          <w:b w:val="false"/>
          <w:i w:val="false"/>
          <w:caps w:val="false"/>
          <w:smallCaps w:val="false"/>
          <w:sz w:val="20"/>
        </w:rPr>
        <w:t>”), and in the related Letter of Transmittal (as amended or supplemented to date, the “</w:t>
      </w:r>
      <w:r>
        <w:rPr>
          <w:rFonts w:ascii="Times New Roman;Times;Serif" w:hAnsi="Times New Roman;Times;Serif"/>
          <w:b/>
          <w:i w:val="false"/>
          <w:caps w:val="false"/>
          <w:smallCaps w:val="false"/>
          <w:sz w:val="20"/>
        </w:rPr>
        <w:t>Letter of Transmittal</w:t>
      </w:r>
      <w:r>
        <w:rPr>
          <w:rFonts w:ascii="Times New Roman;Times;Serif" w:hAnsi="Times New Roman;Times;Serif"/>
          <w:b w:val="false"/>
          <w:i w:val="false"/>
          <w:caps w:val="false"/>
          <w:smallCaps w:val="false"/>
          <w:sz w:val="20"/>
        </w:rPr>
        <w:t>”), which, together with any amendments or supplements thereto, collectively constitute the “</w:t>
      </w:r>
      <w:r>
        <w:rPr>
          <w:rFonts w:ascii="Times New Roman;Times;Serif" w:hAnsi="Times New Roman;Times;Serif"/>
          <w:b/>
          <w:i w:val="false"/>
          <w:caps w:val="false"/>
          <w:smallCaps w:val="false"/>
          <w:sz w:val="20"/>
        </w:rPr>
        <w:t>Offer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described in a Tender Offer Statement filed under cover of Schedule TO with the SEC on May 12, 2026, by the Purchaser (as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Amendment, the information set forth in the Schedule 14D-9 remains unchanged and is incorporated herein by reference to the extent relevant to the items in this Amendment. This Amendment should be read together with the Schedule 14D-9. Capitalized terms used and not otherwise defined in this Amendment shall have the meanings assigned to such terms in the Schedule 14D-9.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086"/>
        <w:gridCol w:w="8032"/>
      </w:tblGrid>
      <w:tr>
        <w:trPr/>
        <w:tc>
          <w:tcPr>
            <w:tcW w:w="87"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b/>
              </w:rPr>
            </w:pPr>
            <w:r>
              <w:rPr>
                <w:b/>
              </w:rPr>
              <w:t>ITEM 8.</w:t>
            </w:r>
          </w:p>
        </w:tc>
        <w:tc>
          <w:tcPr>
            <w:tcW w:w="8032" w:type="dxa"/>
            <w:tcBorders/>
            <w:vAlign w:val="center"/>
          </w:tcPr>
          <w:p>
            <w:pPr>
              <w:pStyle w:val="TableContents"/>
              <w:bidi w:val="0"/>
              <w:spacing w:before="0" w:after="283"/>
              <w:jc w:val="both"/>
              <w:rPr>
                <w:b/>
              </w:rPr>
            </w:pPr>
            <w:r>
              <w:rPr>
                <w:b/>
              </w:rPr>
              <w:t>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 “Additional Information” of the Schedule 14D-9 is amended and supplemented by adding the following disclosure immediately before the heading “Cautionary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Results of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expiration of the Offer at 11:59 p.m., New York City time, on June 11, 2026, the Company has been advised by the Purchaser of the following final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Purchaser has accepted for purchase 13,636,363 Shares validly tendered and received, and not properly withdrawn at or before the Expiration Date, at a purchase price of $11.00 per Share for an aggregate purchase price of $149,999,993, excluding fees and expenses relating to the Offer.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Since the Offer was oversubscribed, the Purchaser accepted the Shares on a pro rata basis and has been informed by the Depositary that the final proration factor for the Offer is 75.779%.”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545"/>
        <w:gridCol w:w="2525"/>
      </w:tblGrid>
      <w:tr>
        <w:trPr/>
        <w:tc>
          <w:tcPr>
            <w:tcW w:w="75"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FS KKR Capital Corp.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Sypherd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Sypherd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665</Words>
  <Characters>3493</Characters>
  <CharactersWithSpaces>4155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