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717d1_8k.htm"/>
      <w:bookmarkStart w:id="1" w:name="kstm2623717d1_8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sz w:val="24"/>
        </w:rPr>
        <w:t>Washington</w:t>
      </w:r>
      <w:r>
        <w:rPr>
          <w:rFonts w:ascii="Times New Roman;Times;Serif" w:hAnsi="Times New Roman;Times;Serif"/>
          <w:b/>
          <w:i w:val="false"/>
          <w:caps w:val="false"/>
          <w:smallCaps w:val="false"/>
          <w:sz w:val="24"/>
        </w:rPr>
        <w:t>,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820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20, 2026</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0_edei--EntityRegistrantName_c2026"/>
      <w:bookmarkEnd w:id="4"/>
      <w:r>
        <w:rPr>
          <w:rFonts w:ascii="Times New Roman;Times;Serif" w:hAnsi="Times New Roman;Times;Serif"/>
          <w:b/>
          <w:i w:val="false"/>
          <w:caps w:val="false"/>
          <w:smallCaps w:val="false"/>
          <w:sz w:val="48"/>
        </w:rPr>
        <w:t>FS KKR Capital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bookmarkStart w:id="5" w:name="xdx_901_edei--EntityIncorporationStateCo"/>
            <w:bookmarkEnd w:id="5"/>
            <w:r>
              <w:rPr>
                <w:b/>
                <w:sz w:val="20"/>
              </w:rPr>
              <w:t>Maryland</w:t>
            </w:r>
          </w:p>
        </w:tc>
        <w:tc>
          <w:tcPr>
            <w:tcW w:w="1145" w:type="dxa"/>
            <w:tcBorders/>
            <w:vAlign w:val="center"/>
          </w:tcPr>
          <w:p>
            <w:pPr>
              <w:pStyle w:val="TableContents"/>
              <w:bidi w:val="0"/>
              <w:spacing w:before="0" w:after="283"/>
              <w:jc w:val="center"/>
              <w:rPr>
                <w:b/>
                <w:sz w:val="20"/>
              </w:rPr>
            </w:pPr>
            <w:bookmarkStart w:id="6" w:name="xdx_906_edei--EntityFileNumber_c20260820"/>
            <w:bookmarkEnd w:id="6"/>
            <w:r>
              <w:rPr>
                <w:b/>
                <w:sz w:val="20"/>
              </w:rPr>
              <w:t>814-00757</w:t>
            </w:r>
          </w:p>
        </w:tc>
        <w:tc>
          <w:tcPr>
            <w:tcW w:w="1565" w:type="dxa"/>
            <w:tcBorders/>
            <w:vAlign w:val="center"/>
          </w:tcPr>
          <w:p>
            <w:pPr>
              <w:pStyle w:val="TableContents"/>
              <w:bidi w:val="0"/>
              <w:spacing w:before="0" w:after="283"/>
              <w:jc w:val="center"/>
              <w:rPr>
                <w:b/>
                <w:sz w:val="20"/>
              </w:rPr>
            </w:pPr>
            <w:bookmarkStart w:id="7" w:name="xdx_908_edei--EntityTaxIdentificationNum"/>
            <w:bookmarkEnd w:id="7"/>
            <w:r>
              <w:rPr>
                <w:b/>
                <w:sz w:val="20"/>
              </w:rPr>
              <w:t>26-1630040</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3025 JFK Boulevard, </w:t>
            </w:r>
            <w:bookmarkStart w:id="9" w:name="xdx_904_edei--EntityAddressAddressLine2_"/>
            <w:bookmarkEnd w:id="9"/>
            <w:r>
              <w:rPr>
                <w:rFonts w:ascii="Times New Roman;Times;Serif" w:hAnsi="Times New Roman;Times;Serif"/>
                <w:b/>
                <w:i w:val="false"/>
                <w:caps w:val="false"/>
                <w:smallCaps w:val="false"/>
                <w:sz w:val="20"/>
              </w:rPr>
              <w:t>OFC 500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Philadelphia, </w:t>
            </w:r>
            <w:bookmarkStart w:id="11" w:name="xdx_90F_edei--EntityAddressStateOrProvin"/>
            <w:bookmarkEnd w:id="11"/>
            <w:r>
              <w:rPr>
                <w:rFonts w:ascii="Times New Roman;Times;Serif" w:hAnsi="Times New Roman;Times;Serif"/>
                <w:b/>
                <w:i w:val="false"/>
                <w:caps w:val="false"/>
                <w:smallCaps w:val="false"/>
                <w:sz w:val="20"/>
              </w:rPr>
              <w:t>Pennsylvania</w:t>
            </w:r>
          </w:p>
        </w:tc>
        <w:tc>
          <w:tcPr>
            <w:tcW w:w="935" w:type="dxa"/>
            <w:tcBorders/>
            <w:vAlign w:val="center"/>
          </w:tcPr>
          <w:p>
            <w:pPr>
              <w:pStyle w:val="TableContents"/>
              <w:bidi w:val="0"/>
              <w:spacing w:before="0" w:after="283"/>
              <w:jc w:val="center"/>
              <w:rPr>
                <w:b/>
                <w:sz w:val="20"/>
              </w:rPr>
            </w:pPr>
            <w:bookmarkStart w:id="12" w:name="xdx_901_edei--EntityAddressPostalZipCode"/>
            <w:bookmarkEnd w:id="12"/>
            <w:r>
              <w:rPr>
                <w:b/>
                <w:sz w:val="20"/>
              </w:rPr>
              <w:t>19104</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0_edei--CityAreaCode_c20260820__20"/>
      <w:bookmarkEnd w:id="13"/>
      <w:r>
        <w:rPr>
          <w:rFonts w:ascii="Times New Roman;Times;Serif" w:hAnsi="Times New Roman;Times;Serif"/>
          <w:b/>
          <w:i w:val="false"/>
          <w:caps w:val="false"/>
          <w:smallCaps w:val="false"/>
          <w:sz w:val="20"/>
        </w:rPr>
        <w:t xml:space="preserve">215) </w:t>
      </w:r>
      <w:bookmarkStart w:id="14" w:name="xdx_904_edei--LocalPhoneNumber_c20260820"/>
      <w:bookmarkEnd w:id="14"/>
      <w:r>
        <w:rPr>
          <w:rFonts w:ascii="Times New Roman;Times;Serif" w:hAnsi="Times New Roman;Times;Serif"/>
          <w:b/>
          <w:i w:val="false"/>
          <w:caps w:val="false"/>
          <w:smallCaps w:val="false"/>
          <w:sz w:val="20"/>
        </w:rPr>
        <w:t>495-1150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9960" w:type="dxa"/>
            <w:tcBorders/>
            <w:vAlign w:val="center"/>
          </w:tcPr>
          <w:p>
            <w:pPr>
              <w:pStyle w:val="TableContents"/>
              <w:bidi w:val="0"/>
              <w:spacing w:before="0" w:after="283"/>
              <w:jc w:val="left"/>
              <w:rPr/>
            </w:pPr>
            <w:r>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D_edei--SolicitingMaterial_c202608"/>
            <w:bookmarkEnd w:id="16"/>
            <w:r>
              <w:rPr/>
              <w:t>☐</w:t>
            </w:r>
          </w:p>
        </w:tc>
        <w:tc>
          <w:tcPr>
            <w:tcW w:w="9960" w:type="dxa"/>
            <w:tcBorders/>
            <w:vAlign w:val="center"/>
          </w:tcPr>
          <w:p>
            <w:pPr>
              <w:pStyle w:val="TableContents"/>
              <w:bidi w:val="0"/>
              <w:spacing w:before="0" w:after="283"/>
              <w:jc w:val="left"/>
              <w:rPr/>
            </w:pPr>
            <w:r>
              <w:rPr/>
              <w:t xml:space="preserve">Soliciting material pursuant to Rule 14a-12 under the Exchange Act (17 CFR 240.14a-12)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5_edei--PreCommencementTenderOffer"/>
            <w:bookmarkEnd w:id="17"/>
            <w:r>
              <w:rPr/>
              <w:t>☐</w:t>
            </w:r>
          </w:p>
        </w:tc>
        <w:tc>
          <w:tcPr>
            <w:tcW w:w="9960" w:type="dxa"/>
            <w:tcBorders/>
            <w:vAlign w:val="center"/>
          </w:tcPr>
          <w:p>
            <w:pPr>
              <w:pStyle w:val="TableContents"/>
              <w:bidi w:val="0"/>
              <w:spacing w:before="0" w:after="283"/>
              <w:jc w:val="left"/>
              <w:rPr/>
            </w:pPr>
            <w:r>
              <w:rPr/>
              <w:t xml:space="preserve">Pre-commencement communications pursuant to Rule 14d-2(b) under the Exchange Act (17 CFR 240.14d-2(b)) </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960" w:type="dxa"/>
            <w:tcBorders/>
            <w:vAlign w:val="center"/>
          </w:tcPr>
          <w:p>
            <w:pPr>
              <w:pStyle w:val="TableContents"/>
              <w:bidi w:val="0"/>
              <w:spacing w:before="0" w:after="283"/>
              <w:jc w:val="left"/>
              <w:rPr/>
            </w:pPr>
            <w:r>
              <w:rPr/>
              <w:t xml:space="preserve">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shd w:fill="FFFFFF" w:val="clear"/>
        <w:tblLayout w:type="fixed"/>
        <w:tblCellMar>
          <w:top w:w="0" w:type="dxa"/>
          <w:left w:w="0" w:type="dxa"/>
          <w:bottom w:w="28" w:type="dxa"/>
          <w:right w:w="0" w:type="dxa"/>
        </w:tblCellMar>
      </w:tblPr>
      <w:tblGrid>
        <w:gridCol w:w="1805"/>
        <w:gridCol w:w="60"/>
        <w:gridCol w:w="1925"/>
        <w:gridCol w:w="60"/>
        <w:gridCol w:w="2795"/>
      </w:tblGrid>
      <w:tr>
        <w:trPr/>
        <w:tc>
          <w:tcPr>
            <w:tcW w:w="1805" w:type="dxa"/>
            <w:tcBorders>
              <w:bottom w:val="single" w:sz="8" w:space="0" w:color="000000"/>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vAlign w:val="center"/>
          </w:tcPr>
          <w:p>
            <w:pPr>
              <w:pStyle w:val="TableContents"/>
              <w:bidi w:val="0"/>
              <w:spacing w:before="0" w:after="283"/>
              <w:jc w:val="center"/>
              <w:rPr>
                <w:b/>
              </w:rPr>
            </w:pPr>
            <w:r>
              <w:rPr>
                <w:b/>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1805" w:type="dxa"/>
            <w:tcBorders/>
            <w:shd w:fill="FFFFFF" w:val="clear"/>
            <w:tcMar>
              <w:bottom w:w="0" w:type="dxa"/>
            </w:tcMar>
            <w:vAlign w:val="center"/>
          </w:tcPr>
          <w:p>
            <w:pPr>
              <w:pStyle w:val="TableContents"/>
              <w:bidi w:val="0"/>
              <w:spacing w:before="0" w:after="283"/>
              <w:jc w:val="center"/>
              <w:rPr>
                <w:b/>
              </w:rPr>
            </w:pPr>
            <w:bookmarkStart w:id="19" w:name="xdx_90D_edei--Security12bTitle_c20260820"/>
            <w:bookmarkEnd w:id="19"/>
            <w:r>
              <w:rPr>
                <w:b/>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b/>
              </w:rPr>
            </w:pPr>
            <w:bookmarkStart w:id="20" w:name="xdx_907_edei--TradingSymbol_c20260820__2"/>
            <w:bookmarkEnd w:id="20"/>
            <w:r>
              <w:rPr>
                <w:b/>
              </w:rPr>
              <w:t>FSK</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5" w:type="dxa"/>
            <w:tcBorders/>
            <w:shd w:fill="FFFFFF" w:val="clear"/>
            <w:tcMar>
              <w:bottom w:w="0" w:type="dxa"/>
            </w:tcMar>
            <w:vAlign w:val="center"/>
          </w:tcPr>
          <w:p>
            <w:pPr>
              <w:pStyle w:val="TableContents"/>
              <w:bidi w:val="0"/>
              <w:spacing w:before="0" w:after="283"/>
              <w:jc w:val="center"/>
              <w:rPr>
                <w:b/>
              </w:rPr>
            </w:pPr>
            <w:bookmarkStart w:id="21" w:name="xdx_900_edei--SecurityExchangeName_c2026"/>
            <w:bookmarkEnd w:id="21"/>
            <w:r>
              <w:rPr>
                <w:b/>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bookmarkStart w:id="22" w:name="xdx_904_edei--EntityEmergingGrowthCompan"/>
      <w:bookmarkEnd w:id="22"/>
      <w:r>
        <w:rPr>
          <w:caps w:val="false"/>
          <w:smallCaps w:val="false"/>
        </w:rPr>
        <w:t>☐  </w:t>
      </w:r>
      <w:r>
        <w:rPr>
          <w:rFonts w:ascii="Times New Roman;Times;Serif" w:hAnsi="Times New Roman;Times;Serif"/>
          <w:b w:val="false"/>
          <w:i w:val="false"/>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875"/>
        <w:gridCol w:w="443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w:t>
            </w:r>
          </w:p>
        </w:tc>
        <w:tc>
          <w:tcPr>
            <w:tcW w:w="4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FS KKR Capital Corp. (the “Company”) held its Annual Meeting of Stockholders (the “Annual Meeting”) on June 18, 2026. On June 18, 2026, the Company adjourned the Annual Meeting with respect to the Share Issuance Proposal (as defined below) to permit additional time to solicit stockholder votes for such proposal. The reconvened meeting (the “Reconvened Meeting”) was held on August 20, 2026. As of April 23, 2026, the record date (the “Record Date”) for the determination of stockholders entitled to notice of, and to vote at, the Reconvened Meeting, </w:t>
      </w:r>
      <w:r>
        <w:rPr>
          <w:rFonts w:ascii="Times New Roman;Times;Serif" w:hAnsi="Times New Roman;Times;Serif"/>
          <w:b w:val="false"/>
          <w:i w:val="false"/>
          <w:caps w:val="false"/>
          <w:smallCaps w:val="false"/>
          <w:sz w:val="20"/>
          <w:shd w:fill="FFFFFF" w:val="clear"/>
        </w:rPr>
        <w:t>280,066,432.663</w:t>
      </w:r>
      <w:r>
        <w:rPr>
          <w:rFonts w:ascii="Times New Roman;Times;Serif" w:hAnsi="Times New Roman;Times;Serif"/>
          <w:b w:val="false"/>
          <w:i w:val="false"/>
          <w:caps w:val="false"/>
          <w:smallCaps w:val="false"/>
          <w:sz w:val="20"/>
        </w:rPr>
        <w:t xml:space="preserve"> shares of common stock were eligible to be voted in person or by proxy. Of the eligible shares of common stock, 146,341,116 were voted in person or by proxy at the Reconvened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were asked to consider and act upon the following proposal, which was described in the Company’s definitive proxy statement filed with the Securities and Exchange Commission on April 30, 2026:</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 xml:space="preserve">Proposal No. 2 – to approve </w:t>
            </w:r>
            <w:r>
              <w:rPr>
                <w:shd w:fill="FFFFFF" w:val="clear"/>
              </w:rPr>
              <w:t>a proposal to allow the Company in future offerings to sell its shares below net asset value per share in order to provide flexibility for future sales</w:t>
            </w:r>
            <w:r>
              <w:rPr/>
              <w:t xml:space="preserve"> (the “Share Issuance Proposal”).</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Issuance Proposal was approved by the Company’s stockholders at the Reconvened Meeting. The final voting results for the Share Issuance Proposal are set forth below:</w:t>
      </w:r>
    </w:p>
    <w:p>
      <w:pPr>
        <w:pStyle w:val="TextBody"/>
        <w:bidi w:val="0"/>
        <w:spacing w:before="0" w:after="0"/>
        <w:ind w:left="0" w:right="0" w:firstLine="720"/>
        <w:jc w:val="left"/>
        <w:rPr>
          <w:caps w:val="false"/>
          <w:smallCaps w:val="false"/>
        </w:rPr>
      </w:pPr>
      <w:r>
        <w:rPr>
          <w:caps w:val="false"/>
          <w:smallCaps w:val="false"/>
        </w:rPr>
        <w:t> </w:t>
      </w:r>
    </w:p>
    <w:tbl>
      <w:tblPr>
        <w:tblW w:w="9805" w:type="dxa"/>
        <w:jc w:val="left"/>
        <w:tblInd w:w="-10" w:type="dxa"/>
        <w:tblLayout w:type="fixed"/>
        <w:tblCellMar>
          <w:top w:w="28" w:type="dxa"/>
          <w:left w:w="28" w:type="dxa"/>
          <w:bottom w:w="28" w:type="dxa"/>
          <w:right w:w="108" w:type="dxa"/>
        </w:tblCellMar>
      </w:tblPr>
      <w:tblGrid>
        <w:gridCol w:w="5015"/>
        <w:gridCol w:w="1055"/>
        <w:gridCol w:w="1175"/>
        <w:gridCol w:w="995"/>
        <w:gridCol w:w="1565"/>
      </w:tblGrid>
      <w:tr>
        <w:trPr/>
        <w:tc>
          <w:tcPr>
            <w:tcW w:w="50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0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Votes For</w:t>
            </w:r>
          </w:p>
        </w:tc>
        <w:tc>
          <w:tcPr>
            <w:tcW w:w="11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Votes Against</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Abstentions</w:t>
            </w:r>
          </w:p>
        </w:tc>
        <w:tc>
          <w:tcPr>
            <w:tcW w:w="15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Broker Non-Votes</w:t>
            </w:r>
          </w:p>
        </w:tc>
      </w:tr>
      <w:tr>
        <w:trPr/>
        <w:tc>
          <w:tcPr>
            <w:tcW w:w="5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All stockholders</w:t>
            </w:r>
          </w:p>
        </w:tc>
        <w:tc>
          <w:tcPr>
            <w:tcW w:w="1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103,799,016</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35,494,986</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7,047,114</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w:t>
            </w:r>
          </w:p>
        </w:tc>
      </w:tr>
      <w:tr>
        <w:trPr/>
        <w:tc>
          <w:tcPr>
            <w:tcW w:w="50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All stockholders excluding shares held by affiliated persons</w:t>
            </w:r>
          </w:p>
        </w:tc>
        <w:tc>
          <w:tcPr>
            <w:tcW w:w="10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103,389,416</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35,494,986</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7,047,114</w:t>
            </w:r>
          </w:p>
        </w:tc>
        <w:tc>
          <w:tcPr>
            <w:tcW w:w="15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votes cast in favor of this proposal represents both (1) a majority of the outstanding shares of the Company’s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entitled to vote at the Reconvened Meeting; and (2) a majority of the outstanding shares of the Company’s common stock entitled to vote at the Reconvened Meeting that are not held by affiliated persons of the Company. For purposes of this proposal, the Investment Company Act of 1940, as amended, defines a “majority of the outstanding shares” as the vote of the lesser of: (1) 67% or more of the voting securities of the Company present at the Reconvened Meeting, if the holders of more than 50% of the outstanding voting securities of the Company are present or represented by proxy; or (2) more than 50% of the outstanding voting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SIGNATURE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1865"/>
        <w:gridCol w:w="320"/>
        <w:gridCol w:w="2525"/>
      </w:tblGrid>
      <w:tr>
        <w:trPr/>
        <w:tc>
          <w:tcPr>
            <w:tcW w:w="186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KKR Capital Corp.</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20,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Stephen Sypherd</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Sypherd</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Secretary</w:t>
            </w:r>
          </w:p>
        </w:tc>
      </w:tr>
    </w:tbl>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741</Words>
  <Characters>3946</Characters>
  <CharactersWithSpaces>4681</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