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0084d1_8k.htm"/>
      <w:bookmarkStart w:id="1" w:name="kstm2620084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sz w:val="24"/>
        </w:rPr>
        <w:t>Washington</w:t>
      </w:r>
      <w:r>
        <w:rPr>
          <w:rFonts w:ascii="Times New Roman;Times;Serif" w:hAnsi="Times New Roman;Times;Serif"/>
          <w:b/>
          <w:i w:val="false"/>
          <w:caps w:val="false"/>
          <w:smallCaps w:val="false"/>
          <w:sz w:val="24"/>
        </w:rPr>
        <w:t>,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70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July 9,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FS KKR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3_edei--EntityIncorporationStateCo"/>
            <w:bookmarkEnd w:id="5"/>
            <w:r>
              <w:rPr>
                <w:b/>
                <w:sz w:val="20"/>
              </w:rPr>
              <w:t>Maryland</w:t>
            </w:r>
          </w:p>
        </w:tc>
        <w:tc>
          <w:tcPr>
            <w:tcW w:w="1145" w:type="dxa"/>
            <w:tcBorders/>
            <w:vAlign w:val="center"/>
          </w:tcPr>
          <w:p>
            <w:pPr>
              <w:pStyle w:val="TableContents"/>
              <w:bidi w:val="0"/>
              <w:spacing w:before="0" w:after="283"/>
              <w:jc w:val="center"/>
              <w:rPr>
                <w:b/>
                <w:sz w:val="20"/>
              </w:rPr>
            </w:pPr>
            <w:bookmarkStart w:id="6" w:name="xdx_904_edei--EntityFileNumber_c20260709"/>
            <w:bookmarkEnd w:id="6"/>
            <w:r>
              <w:rPr>
                <w:b/>
                <w:sz w:val="20"/>
              </w:rPr>
              <w:t>814-00757</w:t>
            </w:r>
          </w:p>
        </w:tc>
        <w:tc>
          <w:tcPr>
            <w:tcW w:w="1565" w:type="dxa"/>
            <w:tcBorders/>
            <w:vAlign w:val="center"/>
          </w:tcPr>
          <w:p>
            <w:pPr>
              <w:pStyle w:val="TableContents"/>
              <w:bidi w:val="0"/>
              <w:spacing w:before="0" w:after="283"/>
              <w:jc w:val="center"/>
              <w:rPr>
                <w:b/>
                <w:sz w:val="20"/>
              </w:rPr>
            </w:pPr>
            <w:bookmarkStart w:id="7" w:name="xdx_909_edei--EntityTaxIdentificationNum"/>
            <w:bookmarkEnd w:id="7"/>
            <w:r>
              <w:rPr>
                <w:b/>
                <w:sz w:val="20"/>
              </w:rPr>
              <w:t>26-1630040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3025 JFK Boulevard, </w:t>
            </w:r>
            <w:bookmarkStart w:id="9" w:name="xdx_902_edei--EntityAddressAddressLine2_"/>
            <w:bookmarkEnd w:id="9"/>
            <w:r>
              <w:rPr>
                <w:rFonts w:ascii="Times New Roman;Times;Serif" w:hAnsi="Times New Roman;Times;Serif"/>
                <w:b/>
                <w:i w:val="false"/>
                <w:caps w:val="false"/>
                <w:smallCaps w:val="false"/>
                <w:sz w:val="20"/>
              </w:rPr>
              <w:t>OFC 500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Philadelphia, </w:t>
            </w:r>
            <w:bookmarkStart w:id="11" w:name="xdx_907_edei--EntityAddressStateOrProvin"/>
            <w:bookmarkEnd w:id="11"/>
            <w:r>
              <w:rPr>
                <w:rFonts w:ascii="Times New Roman;Times;Serif" w:hAnsi="Times New Roman;Times;Serif"/>
                <w:b/>
                <w:i w:val="false"/>
                <w:caps w:val="false"/>
                <w:smallCaps w:val="false"/>
                <w:sz w:val="20"/>
              </w:rPr>
              <w:t>Pennsylvania</w:t>
            </w:r>
          </w:p>
        </w:tc>
        <w:tc>
          <w:tcPr>
            <w:tcW w:w="935" w:type="dxa"/>
            <w:tcBorders/>
            <w:vAlign w:val="center"/>
          </w:tcPr>
          <w:p>
            <w:pPr>
              <w:pStyle w:val="TableContents"/>
              <w:bidi w:val="0"/>
              <w:spacing w:before="0" w:after="283"/>
              <w:jc w:val="center"/>
              <w:rPr>
                <w:b/>
                <w:sz w:val="20"/>
              </w:rPr>
            </w:pPr>
            <w:bookmarkStart w:id="12" w:name="xdx_905_edei--EntityAddressPostalZipCode"/>
            <w:bookmarkEnd w:id="12"/>
            <w:r>
              <w:rPr>
                <w:b/>
                <w:sz w:val="20"/>
              </w:rPr>
              <w:t>19104</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60709__20"/>
      <w:bookmarkEnd w:id="13"/>
      <w:r>
        <w:rPr>
          <w:rFonts w:ascii="Times New Roman;Times;Serif" w:hAnsi="Times New Roman;Times;Serif"/>
          <w:b/>
          <w:i w:val="false"/>
          <w:caps w:val="false"/>
          <w:smallCaps w:val="false"/>
          <w:sz w:val="20"/>
        </w:rPr>
        <w:t xml:space="preserve">215) </w:t>
      </w:r>
      <w:bookmarkStart w:id="14" w:name="xdx_90F_edei--LocalPhoneNumber_c20260709"/>
      <w:bookmarkEnd w:id="14"/>
      <w:r>
        <w:rPr>
          <w:rFonts w:ascii="Times New Roman;Times;Serif" w:hAnsi="Times New Roman;Times;Serif"/>
          <w:b/>
          <w:i w:val="false"/>
          <w:caps w:val="false"/>
          <w:smallCaps w:val="false"/>
          <w:sz w:val="20"/>
        </w:rPr>
        <w:t>495-1150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9960"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07"/>
            <w:bookmarkEnd w:id="16"/>
            <w:r>
              <w:rPr/>
              <w:t>☐</w:t>
            </w:r>
          </w:p>
        </w:tc>
        <w:tc>
          <w:tcPr>
            <w:tcW w:w="9960"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960"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96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shd w:fill="FFFFFF" w:val="clear"/>
        <w:tblLayout w:type="fixed"/>
        <w:tblCellMar>
          <w:top w:w="0" w:type="dxa"/>
          <w:left w:w="0" w:type="dxa"/>
          <w:bottom w:w="28" w:type="dxa"/>
          <w:right w:w="0" w:type="dxa"/>
        </w:tblCellMar>
      </w:tblPr>
      <w:tblGrid>
        <w:gridCol w:w="1805"/>
        <w:gridCol w:w="60"/>
        <w:gridCol w:w="1925"/>
        <w:gridCol w:w="60"/>
        <w:gridCol w:w="2795"/>
      </w:tblGrid>
      <w:tr>
        <w:trPr/>
        <w:tc>
          <w:tcPr>
            <w:tcW w:w="1805"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1805" w:type="dxa"/>
            <w:tcBorders/>
            <w:shd w:fill="FFFFFF" w:val="clear"/>
            <w:tcMar>
              <w:bottom w:w="0" w:type="dxa"/>
            </w:tcMar>
            <w:vAlign w:val="center"/>
          </w:tcPr>
          <w:p>
            <w:pPr>
              <w:pStyle w:val="TableContents"/>
              <w:bidi w:val="0"/>
              <w:spacing w:before="0" w:after="283"/>
              <w:jc w:val="center"/>
              <w:rPr>
                <w:b/>
              </w:rPr>
            </w:pPr>
            <w:bookmarkStart w:id="19" w:name="xdx_906_edei--Security12bTitle_c20260709"/>
            <w:bookmarkEnd w:id="19"/>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b/>
              </w:rPr>
            </w:pPr>
            <w:bookmarkStart w:id="20" w:name="xdx_908_edei--TradingSymbol_c20260709__2"/>
            <w:bookmarkEnd w:id="20"/>
            <w:r>
              <w:rPr>
                <w:b/>
              </w:rPr>
              <w:t>FSK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shd w:fill="FFFFFF" w:val="clear"/>
            <w:tcMar>
              <w:bottom w:w="0" w:type="dxa"/>
            </w:tcMar>
            <w:vAlign w:val="center"/>
          </w:tcPr>
          <w:p>
            <w:pPr>
              <w:pStyle w:val="TableContents"/>
              <w:bidi w:val="0"/>
              <w:spacing w:before="0" w:after="283"/>
              <w:jc w:val="center"/>
              <w:rPr>
                <w:b/>
              </w:rPr>
            </w:pPr>
            <w:bookmarkStart w:id="21" w:name="xdx_903_edei--SecurityExchangeName_c2026"/>
            <w:bookmarkEnd w:id="21"/>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bookmarkStart w:id="22" w:name="xdx_907_edei--EntityEmergingGrowthCompan"/>
      <w:bookmarkEnd w:id="22"/>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FS KKR Capital Corp. announced that it will host a conference call at 9:00 a.m. (Eastern Time) on Thursday, August 6, 2026, to discuss its second quarter 2026 results. A copy of the press release announcing the conference call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shd w:fill="FFFFFF" w:val="clear"/>
        <w:tblLayout w:type="fixed"/>
        <w:tblCellMar>
          <w:top w:w="0" w:type="dxa"/>
          <w:left w:w="0" w:type="dxa"/>
          <w:bottom w:w="0" w:type="dxa"/>
          <w:right w:w="0" w:type="dxa"/>
        </w:tblCellMar>
      </w:tblPr>
      <w:tblGrid>
        <w:gridCol w:w="890"/>
        <w:gridCol w:w="7625"/>
      </w:tblGrid>
      <w:tr>
        <w:trPr/>
        <w:tc>
          <w:tcPr>
            <w:tcW w:w="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76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FFFFFF" w:val="clear"/>
            <w:vAlign w:val="center"/>
          </w:tcPr>
          <w:p>
            <w:pPr>
              <w:pStyle w:val="TableContents"/>
              <w:bidi w:val="0"/>
              <w:spacing w:before="0" w:after="283"/>
              <w:jc w:val="left"/>
              <w:rPr/>
            </w:pPr>
            <w:r>
              <w:rPr/>
              <w:t> </w:t>
            </w:r>
          </w:p>
        </w:tc>
        <w:tc>
          <w:tcPr>
            <w:tcW w:w="7625" w:type="dxa"/>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tm2620084d1_ex99-1.htm">
              <w:r>
                <w:rPr>
                  <w:rStyle w:val="InternetLink"/>
                  <w:rFonts w:ascii="Times New Roman;Times;Serif" w:hAnsi="Times New Roman;Times;Serif"/>
                  <w:sz w:val="20"/>
                </w:rPr>
                <w:t>99.1</w:t>
              </w:r>
            </w:hyperlink>
          </w:p>
        </w:tc>
        <w:tc>
          <w:tcPr>
            <w:tcW w:w="7625" w:type="dxa"/>
            <w:tcBorders/>
            <w:shd w:fill="FFFFFF" w:val="clear"/>
            <w:vAlign w:val="center"/>
          </w:tcPr>
          <w:p>
            <w:pPr>
              <w:pStyle w:val="TableContents"/>
              <w:bidi w:val="0"/>
              <w:spacing w:before="0" w:after="283"/>
              <w:jc w:val="left"/>
              <w:rPr/>
            </w:pPr>
            <w:hyperlink w:anchor="tm2620084d1_ex99-1.htm">
              <w:r>
                <w:rPr>
                  <w:rStyle w:val="InternetLink"/>
                  <w:rFonts w:ascii="Times New Roman;Times;Serif" w:hAnsi="Times New Roman;Times;Serif"/>
                  <w:sz w:val="20"/>
                </w:rPr>
                <w:t>Press Release, dated July 9, 2026.</w:t>
              </w:r>
            </w:hyperlink>
          </w:p>
        </w:tc>
      </w:tr>
      <w:tr>
        <w:trPr/>
        <w:tc>
          <w:tcPr>
            <w:tcW w:w="890" w:type="dxa"/>
            <w:tcBorders/>
            <w:shd w:fill="FFFFFF" w:val="clear"/>
            <w:vAlign w:val="center"/>
          </w:tcPr>
          <w:p>
            <w:pPr>
              <w:pStyle w:val="TableContents"/>
              <w:bidi w:val="0"/>
              <w:spacing w:before="0" w:after="283"/>
              <w:jc w:val="left"/>
              <w:rPr/>
            </w:pPr>
            <w:r>
              <w:rPr/>
              <w:t> </w:t>
            </w:r>
          </w:p>
        </w:tc>
        <w:tc>
          <w:tcPr>
            <w:tcW w:w="7625" w:type="dxa"/>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104</w:t>
            </w:r>
          </w:p>
        </w:tc>
        <w:tc>
          <w:tcPr>
            <w:tcW w:w="7625" w:type="dxa"/>
            <w:tcBorders/>
            <w:shd w:fill="FFFFFF" w:val="cle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520"/>
        <w:gridCol w:w="320"/>
        <w:gridCol w:w="2525"/>
      </w:tblGrid>
      <w:tr>
        <w:trPr/>
        <w:tc>
          <w:tcPr>
            <w:tcW w:w="152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KKR Capital Corp.</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Sypherd</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shd w:fill="FFFFFF" w:val="clear"/>
        <w:tblLayout w:type="fixed"/>
        <w:tblCellMar>
          <w:top w:w="0" w:type="dxa"/>
          <w:left w:w="0" w:type="dxa"/>
          <w:bottom w:w="0" w:type="dxa"/>
          <w:right w:w="0" w:type="dxa"/>
        </w:tblCellMar>
      </w:tblPr>
      <w:tblGrid>
        <w:gridCol w:w="890"/>
        <w:gridCol w:w="60"/>
        <w:gridCol w:w="2750"/>
      </w:tblGrid>
      <w:tr>
        <w:trPr/>
        <w:tc>
          <w:tcPr>
            <w:tcW w:w="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60" w:type="dxa"/>
            <w:tcBorders/>
            <w:shd w:fill="FFFFFF" w:val="clear"/>
            <w:vAlign w:val="center"/>
          </w:tcPr>
          <w:p>
            <w:pPr>
              <w:pStyle w:val="TableContents"/>
              <w:bidi w:val="0"/>
              <w:spacing w:before="0" w:after="283"/>
              <w:jc w:val="left"/>
              <w:rPr/>
            </w:pPr>
            <w:r>
              <w:rPr/>
              <w:t> </w:t>
            </w:r>
          </w:p>
        </w:tc>
        <w:tc>
          <w:tcPr>
            <w:tcW w:w="27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FFFFFF" w:val="clear"/>
            <w:vAlign w:val="center"/>
          </w:tcPr>
          <w:p>
            <w:pPr>
              <w:pStyle w:val="TableContents"/>
              <w:bidi w:val="0"/>
              <w:spacing w:before="0" w:after="283"/>
              <w:jc w:val="left"/>
              <w:rPr/>
            </w:pPr>
            <w:r>
              <w:rPr/>
              <w:t> </w:t>
            </w:r>
          </w:p>
        </w:tc>
        <w:tc>
          <w:tcPr>
            <w:tcW w:w="2810" w:type="dxa"/>
            <w:gridSpan w:val="2"/>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tm2620084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2750" w:type="dxa"/>
            <w:tcBorders/>
            <w:shd w:fill="FFFFFF" w:val="clear"/>
            <w:vAlign w:val="center"/>
          </w:tcPr>
          <w:p>
            <w:pPr>
              <w:pStyle w:val="TableContents"/>
              <w:bidi w:val="0"/>
              <w:spacing w:before="0" w:after="283"/>
              <w:jc w:val="left"/>
              <w:rPr/>
            </w:pPr>
            <w:hyperlink w:anchor="tm2620084d1_ex99-1.htm">
              <w:r>
                <w:rPr>
                  <w:rStyle w:val="InternetLink"/>
                  <w:rFonts w:ascii="Times New Roman;Times;Serif" w:hAnsi="Times New Roman;Times;Serif"/>
                  <w:sz w:val="20"/>
                </w:rPr>
                <w:t>Press Release, dated July 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0084d1_ex99-1.htm"/>
      <w:bookmarkStart w:id="24" w:name="kstm2620084d1_ex991"/>
      <w:bookmarkEnd w:id="23"/>
      <w:bookmarkEnd w:id="24"/>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417195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7195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FSK Announces Earnings Release and Conference Call Schedule for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AND NEW YORK – July 9, 2026 – FS KKR Capital Corp. (NYSE: FSK) announced today plans to release its second quarter 2026 results before the opening of trading on the New York Stock Exchange on Thursday,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 will host its second quarter 2026 results conference call via live webcast on Thursday, August 6, 2026 at 9:00 a.m. (Eastern Time). All interested parties are welcome to participate and can access the live webcast from the For Investors section of FSK’s website at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 xml:space="preserve"> under Events &amp; Presentations or through the following URL: </w:t>
      </w:r>
      <w:r>
        <w:rPr>
          <w:rFonts w:ascii="Times New Roman;Times;Serif" w:hAnsi="Times New Roman;Times;Serif"/>
          <w:b w:val="false"/>
          <w:i w:val="false"/>
          <w:caps w:val="false"/>
          <w:smallCaps w:val="false"/>
          <w:sz w:val="20"/>
          <w:u w:val="single"/>
        </w:rPr>
        <w:t>https://edge.media-server.com/mmc/p/p9kmcy8i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analysts who wish to participate in the conference call are requested to register a day in advance or at a minimum 15 minutes before the start of the call using the following URL: </w:t>
      </w:r>
      <w:r>
        <w:rPr>
          <w:rFonts w:ascii="Times New Roman;Times;Serif" w:hAnsi="Times New Roman;Times;Serif"/>
          <w:b w:val="false"/>
          <w:i w:val="false"/>
          <w:caps w:val="false"/>
          <w:smallCaps w:val="false"/>
          <w:sz w:val="20"/>
          <w:u w:val="single"/>
        </w:rPr>
        <w:t>https://register-conf.media-server.com/register/BI2b07b127c5834f0ba23088267e658e7e</w:t>
      </w:r>
      <w:r>
        <w:rPr>
          <w:rFonts w:ascii="Times New Roman;Times;Serif" w:hAnsi="Times New Roman;Times;Serif"/>
          <w:b w:val="false"/>
          <w:i w:val="false"/>
          <w:caps w:val="false"/>
          <w:smallCaps w:val="false"/>
          <w:sz w:val="20"/>
        </w:rPr>
        <w:t>. Upon registration, all telephone participants will receive a confirmation email detailing how to join the conference call, including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presentation of financial information will be available by visiting the For Investors section of FSK’s website, under Events &amp; Presentations before the market open on Thursday,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beginning shortly after the end of the call by visiting the For Investors section of FSK’s website, under Events &amp; 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FS KKR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FSK is a leading publicly traded business development company (BDC) focused on providing customized credit solutions to private middle market U.S. companies. FSK seeks to invest primarily in the senior secured debt and, to a lesser extent, subordinated loans and certain asset-based financing loans of private U.S. companies. FSK is advised by FS/KKR Advisor, LLC. For more information, please visit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FS/KKR Advisor, LLC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FS/KKR Advisor, LLC (FS/KKR) is a partnership between Future Standard and KKR Credit that serves as the investment adviser to FSK and other business development companies.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Standard is a global alternative asset manager serving institutional and private wealth clients, investing across private equity, credit and real estate. With a 30+ year track record of value creation and over $94 billion in assets under management, we back the business owners and financial sponsors that drive growth and innovation across the middle market, transforming untapped potential into durable value.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KKR Credit is a subsidiary of KKR &amp; Co. Inc.,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t>
      </w:r>
      <w:r>
        <w:rPr>
          <w:rFonts w:ascii="Times New Roman;Times;Serif" w:hAnsi="Times New Roman;Times;Serif"/>
          <w:b w:val="false"/>
          <w:i w:val="false"/>
          <w:caps w:val="false"/>
          <w:smallCaps w:val="false"/>
          <w:sz w:val="20"/>
          <w:u w:val="single"/>
        </w:rPr>
        <w:t>www.kkr.com</w:t>
      </w:r>
      <w:r>
        <w:rPr>
          <w:rFonts w:ascii="Times New Roman;Times;Serif" w:hAnsi="Times New Roman;Times;Serif"/>
          <w:b w:val="false"/>
          <w:i w:val="false"/>
          <w:caps w:val="false"/>
          <w:smallCaps w:val="false"/>
          <w:sz w:val="20"/>
        </w:rPr>
        <w:t xml:space="preserve">. For additional information about Global Atlantic Financial Group, please visit Global Atlantic Financial Group’s website at </w:t>
      </w:r>
      <w:r>
        <w:rPr>
          <w:rFonts w:ascii="Times New Roman;Times;Serif" w:hAnsi="Times New Roman;Times;Serif"/>
          <w:b w:val="false"/>
          <w:i w:val="false"/>
          <w:caps w:val="false"/>
          <w:smallCaps w:val="false"/>
          <w:sz w:val="20"/>
          <w:u w:val="single"/>
        </w:rPr>
        <w:t>www.globalatlantic.com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left"/>
              <w:rPr/>
            </w:pPr>
            <w:r>
              <w:rPr/>
              <w:t>Total AUM estimated as of March 31, 2026.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 Relations </w:t>
      </w:r>
      <w:r>
        <w:rPr>
          <w:rFonts w:ascii="Times New Roman;Times;Serif" w:hAnsi="Times New Roman;Times;Serif"/>
          <w:b w:val="false"/>
          <w:i w:val="false"/>
          <w:caps w:val="false"/>
          <w:smallCaps w:val="false"/>
          <w:sz w:val="20"/>
        </w:rPr>
        <w:br/>
        <w:t>Caitlin Welch</w:t>
        <w:br/>
      </w:r>
      <w:r>
        <w:rPr>
          <w:rFonts w:ascii="Times New Roman;Times;Serif" w:hAnsi="Times New Roman;Times;Serif"/>
          <w:b w:val="false"/>
          <w:i w:val="false"/>
          <w:caps w:val="false"/>
          <w:smallCaps w:val="false"/>
          <w:sz w:val="20"/>
          <w:u w:val="single"/>
        </w:rPr>
        <w:t>Caitlin.Welch@futurestandard.com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 Standard Media Team </w:t>
      </w:r>
      <w:r>
        <w:rPr>
          <w:rFonts w:ascii="Times New Roman;Times;Serif" w:hAnsi="Times New Roman;Times;Serif"/>
          <w:b w:val="false"/>
          <w:i w:val="false"/>
          <w:caps w:val="false"/>
          <w:smallCaps w:val="false"/>
          <w:sz w:val="20"/>
        </w:rPr>
        <w:br/>
        <w:t>Marc Hazelton</w:t>
        <w:br/>
      </w:r>
      <w:r>
        <w:rPr>
          <w:rFonts w:ascii="Times New Roman;Times;Serif" w:hAnsi="Times New Roman;Times;Serif"/>
          <w:b w:val="false"/>
          <w:i w:val="false"/>
          <w:caps w:val="false"/>
          <w:smallCaps w:val="false"/>
          <w:sz w:val="20"/>
          <w:u w:val="single"/>
        </w:rPr>
        <w:t>Marc.Hazelton@futurestandard.com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1214</Words>
  <Characters>6849</Characters>
  <CharactersWithSpaces>8087</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