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FS KKR Capital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814-00757</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26-1630040</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826"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82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495-1150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3840" w:type="dxa"/>
            <w:vAlign w:val="bottom"/>
            <w:gridSpan w:val="2"/>
            <w:vMerge w:val="continue"/>
          </w:tcPr>
          <w:p>
            <w:pPr>
              <w:spacing w:after="0"/>
              <w:rPr>
                <w:sz w:val="20"/>
                <w:szCs w:val="20"/>
                <w:color w:val="auto"/>
              </w:rPr>
            </w:pPr>
          </w:p>
        </w:tc>
        <w:tc>
          <w:tcPr>
            <w:tcW w:w="3800" w:type="dxa"/>
            <w:vAlign w:val="bottom"/>
            <w:gridSpan w:val="2"/>
            <w:vMerge w:val="continue"/>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 stock</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FSK</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Emerging growth company</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Agreement</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May 10, 2026, FS KKR Capital Corp. (the “Company”) entered into a purchase agreement (the “Purchase Agreement”) with KKR Alternative Assets L.P., a Delaware limited partnership (the “Purchaser”), pursuant to which the Purchaser has agreed to purchase $150,000,000 in newly issued shares of the Company’s cumulative convertible perpetual preferred stock (the “Convertible Preferred Stock”). The Convertible Preferred Stock will be a series of the Company’s preferred stock, par value $0.001 per share. The Purchaser is an affiliate of KKR &amp; Co. Inc. (“KKR”). The Company’s investment adviser, FS/KKR Advisor, LLC (the “Adviser”), is jointly operated by KKR Credit Advisors (US) LLC (“KKR Credit”), which is also an affiliate of KKR, and FSJV Holdco, LLC, an affiliate of Franklin Square Holdings L.P. (which does business as Future Standard).</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closing of the purchase is subject to the expiration of the Purchaser’s concurrently announced third-party tender offer (the “Tender Offer”) for up to $150 million in aggregate amount of shares of the Company’s common stock, par value $0.001 per share (the “Common Stock”), and other customary closing conditions and the expiration or termination of the applicable waiting period under the Hart-Scott-Rodino Antitrust Improvements Act of 1976, as amended, and is expected to occur on the 11th business day following the expiration of the Tender Offer.</w:t>
      </w:r>
    </w:p>
    <w:p>
      <w:pPr>
        <w:spacing w:after="0" w:line="18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Company intends to use the proceeds from the sale of Convertible Preferred Stock for general corporate purposes including, without limitation, funding any Common Stock repurchase program or debt repayment. The Convertible Preferred Stock will rank senior to the Common Stock with respect to all liquidation, winding up, dissolution, dividend and distribution rights. The Convertible Preferred Stock will have a liquidation preference equal to $25.00 per share (the “Liquidation Preference”), plus an amount equal to all accrued but unpaid dividends, if any, accumulated to (but excluding) the date fixed for distribution or payment, whether or not earned or declared by the Company, but excluding interest on any such distribution or payment. Dividends on the Convertible Preferred Stock will be payable on a quarterly basis in an initial amount equal to 5.00% per annum of the Liquidation Preference per share, payable in cash or, at the Company's option, 7.00% per annum of the Liquidation Preference per share payable in additional shares of Convertible Preferred Stock; provided that the Company shall be prohibited from paying dividends in additional shares of Convertible Preferred Stock if the conversion feature at the time of issuance of such additional shares is equal to or greater than 10.00% of the value of the Convertible Preferred Stock. After the 5.5-year anniversary of the issue date, the dividend rate will increase annually by 1.00% per annum.</w:t>
      </w:r>
    </w:p>
    <w:p>
      <w:pPr>
        <w:spacing w:after="0" w:line="19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After the 6-month anniversary of the issue date, the Convertible Preferred Stock will be convertible into (i) the number of shares of Common Stock equal to the quotient of (a) the Liquidation Preference, plus an amount equal to accumulated but unpaid dividends, if any, on such shares (whether or not earned or declared, but excluding interest on such dividends) to, but excluding, the date fixed for such conversion and (b) the conversion price as of the applicable conversion date (which shall not be less than the NYSE Minimum Price (as defined below)), plus (ii) cash in lieu of fractional shares. The initial conversion price will equal $18.83; provided, however, that in no event shall the conversion price be less than the NYSE Minimum Price.</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At any time, upon approval by the Company’s board of directors (the “Board”), including a majority of the independent directors, the Company may, at its election, redeem all or any part of the then-outstanding shares of Convertible Preferred Stock in cash at a price per share equal to the Liquidation Preference, plus an amount equal to all accumulated but unpaid dividends, if any, accumulated to (but excluding) the date fixed for redemption, whether or not earned or declared by the Company, but excluding interest on any such distribution or payment. The Purchaser will have the right to convert any shares of the Convertible Preferred Stock prior to the date fixed for such redemption. At any time on or after the thirty-six month anniversary of the issue date, upon approval by the Board, including a majority of the independent directors, so long as the volume weighted average price of the Company’s Shares on the NYSE for the 30 consecutive trading days ending on (and including) the trading day immediately preceding the date on which the Company delivers notice of redemption equals or exceeds the conversion price then in effect, the Company may, at its election, may redeem all or any part of the then-outstanding shares of Convertible Preferred Stock by delivering Shares in lieu of cash, at a redemption price equal to the Liquidation Preference, plus an amount equal to all accumulated but unpaid dividends, if any, accumulated to (but excluding) the date fixed for redemption, whether or not earned or declared by the Company, but excluding interest on any such distribution or payment. The Purchaser will have the right to convert any shares of the Convertible Preferred Stock prior to the date fixed for such redemption.</w:t>
      </w:r>
    </w:p>
    <w:p>
      <w:pPr>
        <w:spacing w:after="0" w:line="19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At any time after the 6-year anniversary of the issue date, upon 90 days’ notice, the Purchaser will have the option, at its election, to require the Company to redeem any or all of the then-outstanding shares of Convertible Preferred Stock for cash consideration equal to the Liquidation Preference of the shares of Convertible Preferred Stock to be redeemed, plus an amount equal to accumulated but unpaid dividends, if any, on such shares (whether or not earned or declared, but excluding interest on such dividends) to, but excluding, the date fixed for such redemption. The Purchaser will have the right to convert any shares of Convertible Preferred Stock prior to the date fixed for any such redemption.</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Upon the occurrence of a Change of Control of the Company (as defined in the articles supplementary that will establish the Convertible Preferred Stock), the Purchaser will have the option to require the Company to immediately redeem all then-outstanding shares of Convertible Preferred Stock for cash consideration equal to the Liquidation Preference thereof, plus an amount equal to all accumulated but unpaid dividends thereon to, but excluding, the redemption date (whether or not earned or declared, but excluding interest). The Purchaser will have the right to convert any shares of Convertible Preferred Stock prior to the date fixed for such Change of Control redemption.</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the Purchaser has agreed that, for a period of one year following the issuance of the Convertible Preferred Stock (the “Restriction Date”), it will not, directly or indirectly, sell, pledge, transfer, dispose of, or enter into any swap or other arrangement that transfers any of the economic consequences of ownership of the Convertible Preferred Stock or the shares of Common Stock into which it is convertible, subject to exceptions for (i) redemption of Convertible Preferred Stock by the Company and (ii) the Purchaser’s exercise of its conversion right. Following the Restriction Date, the Purchaser will be required to notify the Board of any transfer substantially concurrently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ind w:firstLine="648"/>
        <w:spacing w:after="0" w:line="253" w:lineRule="auto"/>
        <w:rPr>
          <w:sz w:val="20"/>
          <w:szCs w:val="20"/>
          <w:color w:val="auto"/>
        </w:rPr>
      </w:pPr>
      <w:r>
        <w:rPr>
          <w:rFonts w:ascii="Times New Roman" w:cs="Times New Roman" w:eastAsia="Times New Roman" w:hAnsi="Times New Roman"/>
          <w:sz w:val="18"/>
          <w:szCs w:val="18"/>
          <w:color w:val="auto"/>
        </w:rPr>
        <w:t>Each holder of Convertible Preferred Stock will be entitled to vote on an as-converted basis on each matter submitted to a vote of stockholders of the Company. In addition, for so long as the Company is subject to the Investment Company Act of 1940, as amended (the “1940 Act”), the holders of Convertible Preferred Stock, voting separately as a single class, shall have the right to elect two (2) members of the Board at all times (initially expected to be James H. Kropp and Elizabeth J. Sandler), and the balance of the directors shall be elected by the holders of shares of Common Stock and the Convertible Preferred Stock voting together; provided, however, if the Adviser is the Company’s investment adviser and the Purchaser or its affiliates beneficially own greater than 50% of the outstanding Convertible Preferred Stock, the independent directors of the Company selected by the Purchaser or its affiliates shall be eligible to serve as directors elected separately by the holders of Convertible Preferred Stock. If, at any time, accumulated dividends on the outstanding shares of Convertible Preferred Stock equal to at least two full years’ dividends shall be due and unpaid, or if holders of any other preferred stock become entitled to elect a majority of directors of the Company under the 1940 Act, then the number of directors constituting the Board shall automatically increase by the smallest number that, when added to the two directors elected exclusively by holders of the Convertible Preferred Stock, would constitute a majority of the Board. During any such period, the holders of the Convertible Preferred Stock and any other preferred stock shall have the power to elect such additional directors, voting separately as a class.</w:t>
      </w:r>
    </w:p>
    <w:p>
      <w:pPr>
        <w:spacing w:after="0" w:line="19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“NYSE Minimum Price” means the lower of (x) the official closing price of the shares of Common Stock on the New York Stock Exchange (“NYSE”) immediately preceding the signing of the Purchase Agreement and (y) the average official closing price of the shares of Common Stock on the NYSE for the five trading days immediately preceding the signing of the Purchase Agreement, in each case, as adjusted pursuant to certain anti-dilution adjustments.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shares of Convertible Preferred Stock were offered in reliance on Section 4(a)(2) of the Securities Act of 1933, as amended (the “Securities Act”). These securities have not and will not be registered under the Securities Act or any state securities laws and, unless so registered, may not be offered or sold in the United States except pursuant to an exemption from, or in a transaction not subject to, the registration requirements of the Securities Act, as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Concurrently with the issuance of the Convertible Preferred Stock, the Company and the Purchaser expect to enter into a Registration Rights Agreement (the “Registration Rights Agreement”), pursuant to which the Purchaser (and certain permitted transferees) will have the right to require the Company to register for resale under the Securities Act shares of Common Stock issued upon conversion of the Convertible Preferred Stock and certain other shares of Common Stock held by the Purchaser and its affiliates as of the closing date of the Convertible Preferred Stock offering (collectively, the “Registrable Securities”). The Purchaser will have demand registration rights (not to exceed three Demand Requests (as defined in the Registration Rights Agreement) in any 365-day period), customary piggyback registration rights in connection with Company-initiated registrations, and the right to require the Company to use commercially reasonable efforts to maintain a continuously effective shelf registration statement on Form N-2 covering the Registrable Securities from and after the Registration Date until the Purchaser has sold all Registrable Securities. The Company Registration Rights Agreement will include customary indemnification and contribution provisions, which survive termination of the Registration Rights Agreement.</w:t>
      </w:r>
    </w:p>
    <w:p>
      <w:pPr>
        <w:spacing w:after="0" w:line="188"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descriptions above are only summaries of the material provisions of the Purchase Agreement and the Registration Rights Agreement and are qualified in their entirety by reference to the copies of the Purchase Agreement and the form of Registration Rights Agreement, which are filed as Exhibit 10.1 and included in Exhibit 10.1, respectively, to this Current Report on Form 8-K and are incorporated herein by reference.</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Purchase Agreement and Registration Rights Agreement contain representations, warranties and covenants made by the respective parties to each other as of specified dates. The representations and warranties in such agreements were made solely for the benefit of the other parties thereto and may be subject to limitations agreed upon by the contracting parties. Investors should not rely on such representations, warranties and covenants as characterizations of the actual state of facts or circumstances at the time they were made or at any other time.</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On May 11, 2026, the Company issued a press release (the “Press Release”) providing an overview of its results for the quarter ended March 31, 2026, recently implemented or approved stockholder support measures, and related matters. A copy of the Press Release is attached hereto as Exhibit 99.1 and is incorporated herein by reference.</w:t>
      </w:r>
    </w:p>
    <w:p>
      <w:pPr>
        <w:spacing w:after="0" w:line="17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the liabilities of that section, and is not incorporated by reference into any filing under the Securities Act or the Exchange Act, unless it is specifically incorporated by reference therein.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 the Press Release, the Company announced a cash distribution on the Common Stock totaling $0.42 per share, which will be paid on or about July 2, 2026 to stockholders of record as of the close of business on June 17, 2026.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make available under the “Events &amp; Presentations” page within the “For Investors” section of the Company’s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www.fskkrcapitalcorp.com</w:t>
      </w:r>
      <w:r>
        <w:rPr>
          <w:rFonts w:ascii="Times New Roman" w:cs="Times New Roman" w:eastAsia="Times New Roman" w:hAnsi="Times New Roman"/>
          <w:sz w:val="17"/>
          <w:szCs w:val="17"/>
          <w:color w:val="auto"/>
        </w:rPr>
        <w:t>) a presentation containing financial and operating information in advance of its previously announced May 11, 2026 conference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 w:name="page4"/>
    <w:bookmarkEnd w:id="3"/>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furnished in this Item 7.01 shall not be deemed to be “filed” for purposes of Section 18 of the Exchange Act, or otherwise subject to the liabilities of that section, and is not incorporated by reference into any filing under the Securities Act or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may contain certain forward-looking statements, including statements with regard to future events or the future performance or operation of the Company. Words such as “believes,” “expects,” “projects” and “future” or similar expressions are intended to identify forward-looking statements. These forward-looking statements are subject to the inherent uncertainties in predicting future results and conditions. Certain factors could cause actual results to differ materially from those projected in these forward-looking statements. Factors that could cause actual results to differ materially include changes in the economy, risks associated with possible disruption in the Company’s operations or the economy generally due to terrorism, geo-political risks, natural disasters or pandemics, future changes in laws or regulations and conditions in the Company’s operating area, and the price at which shares of Common Stock may trade on the New York Stock Exchange. Some of these factors are enumerated in the filings the Company makes with the Securities and Exchange Commission. The Company undertakes no obligation to update or revise any forward-looking statements, whether as a result of new information, future events or otherwise.</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Purchase Agreement, dated as of May 10, 2026, by and between the Company and KKR Alternative Assets L.P.</w:t>
            </w:r>
          </w:p>
        </w:tc>
      </w:tr>
      <w:tr>
        <w:trPr>
          <w:trHeight w:val="412"/>
        </w:trPr>
        <w:tc>
          <w:tcPr>
            <w:tcW w:w="4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540" w:type="dxa"/>
            <w:vAlign w:val="bottom"/>
          </w:tcPr>
          <w:p>
            <w:pPr>
              <w:spacing w:after="0"/>
              <w:rPr>
                <w:sz w:val="24"/>
                <w:szCs w:val="24"/>
                <w:color w:val="auto"/>
              </w:rPr>
            </w:pPr>
          </w:p>
        </w:tc>
        <w:tc>
          <w:tcPr>
            <w:tcW w:w="80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11, 2026 (furnished herewith).</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right="900"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Exhibits and/or schedules to this Exhibit have been omitted in accordance with Item 601 of Regulation S-K. The registrant agrees to furnish supplementally a copy of all omitted exhibits and/or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FS KKR Capital Corp.</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Stephen Sypherd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Sypherd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May 10, 2026, by and among FS KKR Capital Corp., a Maryland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KKR Alternative Assets L.P., a Delaware limited partnership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subject to the terms and conditions set forth in this Agreement, the Company desires to issue, and the Purchaser desires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Cumulative Convertible Perpetual Preferred Stock, liquidation preference $25.00 per share (the “</w:t>
      </w:r>
      <w:r>
        <w:rPr>
          <w:rFonts w:ascii="Times New Roman" w:cs="Times New Roman" w:eastAsia="Times New Roman" w:hAnsi="Times New Roman"/>
          <w:sz w:val="18"/>
          <w:szCs w:val="18"/>
          <w:u w:val="single" w:color="auto"/>
          <w:color w:val="auto"/>
        </w:rPr>
        <w:t>Convertible Preferred Stock</w:t>
      </w:r>
      <w:r>
        <w:rPr>
          <w:rFonts w:ascii="Times New Roman" w:cs="Times New Roman" w:eastAsia="Times New Roman" w:hAnsi="Times New Roman"/>
          <w:sz w:val="18"/>
          <w:szCs w:val="18"/>
          <w:color w:val="auto"/>
        </w:rPr>
        <w:t>”), a series of the Company’s preferred stock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established by articles supplementary to the charter of the Company reflecting the terms outlined in the term sheet attached hereto as Exhibit A, upon the terms and conditions as more particularly provided herein; and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of the mutual agreements hereinafter contained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and intending to be legally bound, the Company and each Purchaser hereby agree as follows: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 CLOSINGS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Purchase and Sale of the Purchased Shares</w:t>
      </w:r>
      <w:r>
        <w:rPr>
          <w:rFonts w:ascii="Times New Roman" w:cs="Times New Roman" w:eastAsia="Times New Roman" w:hAnsi="Times New Roman"/>
          <w:sz w:val="18"/>
          <w:szCs w:val="18"/>
          <w:color w:val="auto"/>
        </w:rPr>
        <w:t>. At the Closing (as defined in Section 1.2), the Company shall sell to the Purchaser, and the Purchaser shall buy from the Company, upon the terms and conditions hereinafter set forth, 6,000,000 shares of Convertible Preferred Stock (such Convertible Preferred Stock, the “</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 at the purchase price of $25.00 per share.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The Closing</w:t>
      </w:r>
      <w:r>
        <w:rPr>
          <w:rFonts w:ascii="Times New Roman" w:cs="Times New Roman" w:eastAsia="Times New Roman" w:hAnsi="Times New Roman"/>
          <w:sz w:val="18"/>
          <w:szCs w:val="18"/>
          <w:color w:val="auto"/>
        </w:rPr>
        <w:t>. Upon the purchase and sale of the Purchased Shares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 the purchase price for the Purchased Shares being purchased by the Purchaser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be delivered by or on behalf of the Purchaser to the Company as more particularly provided in Section 1.4 and (b) the Company shall deliver to the Purchaser the number of Purchased Shares as more particularly provided in Section 1.5.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Notice of Closings</w:t>
      </w:r>
      <w:r>
        <w:rPr>
          <w:rFonts w:ascii="Times New Roman" w:cs="Times New Roman" w:eastAsia="Times New Roman" w:hAnsi="Times New Roman"/>
          <w:sz w:val="18"/>
          <w:szCs w:val="18"/>
          <w:color w:val="auto"/>
        </w:rPr>
        <w:t>. The Company shall provide notice of the Closing to the Purchaser no fewer than six (6) business days prior to the Closing which shall specify the time, date and location of the Closing.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Delivery of the Purchase Price</w:t>
      </w:r>
      <w:r>
        <w:rPr>
          <w:rFonts w:ascii="Times New Roman" w:cs="Times New Roman" w:eastAsia="Times New Roman" w:hAnsi="Times New Roman"/>
          <w:sz w:val="18"/>
          <w:szCs w:val="18"/>
          <w:color w:val="auto"/>
        </w:rPr>
        <w:t>. At the Closing, the Purchaser shall remit by wire transfer the amount of funds equal to the Purchase Price with respect to the Purchased Shares being purchased by it to the account designated by the Company in writing to the Purchaser.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Delivery of the Purchased Shares</w:t>
      </w:r>
      <w:r>
        <w:rPr>
          <w:rFonts w:ascii="Times New Roman" w:cs="Times New Roman" w:eastAsia="Times New Roman" w:hAnsi="Times New Roman"/>
          <w:sz w:val="18"/>
          <w:szCs w:val="18"/>
          <w:color w:val="auto"/>
        </w:rPr>
        <w:t>. On the date of the Closing, the Company shall update, or cause its transfer agent to update, the share register for the Convertible Preferred Stock to reflect the names and addresses of the Purchaser and the number of shares of each sub-series of Convertible Preferred Stock held by the Purchaser. For the avoidance of doubt, the Purchased Shares shall initially be issued in uncertificated form.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Conditions to the Company’s Obligations</w:t>
      </w:r>
      <w:r>
        <w:rPr>
          <w:rFonts w:ascii="Times New Roman" w:cs="Times New Roman" w:eastAsia="Times New Roman" w:hAnsi="Times New Roman"/>
          <w:sz w:val="18"/>
          <w:szCs w:val="18"/>
          <w:color w:val="auto"/>
        </w:rPr>
        <w:t>. The Company’s obligation to sell and issue the Purchased Shares to the Purchaser will be subject to the fulfillment, prior to or at the Closing, of the following conditions: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Company shall have received the Purchase Price from the Purchaser as set forth in Section 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representations and warranties made by the Purchaser in this Agreement shall be correct when made and at the Closing.</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The Purchaser shall have performed and complied with all agreements and conditions contained in this Agreement required to be performed or complied with by it prior to or at the Closing.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           The tender offer by the Purchaser for shares of common stock of the Company,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have expired not fewer than eleven (11) business days prior to such Closing.</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No consent, approval, authorization, order, registration or qualification of or with any court or arbitrator or governmental or regulatory authority shall be required for the execution, delivery and performance by the Company of the transactions contemplated by this Agreement, the issuance and sale of the Purchased Shares (including the issuance of Common Stock upon conversion thereof) and the consummation of the transactions contemplated by this Agreement (including, for the avoidance of doubt, the expiration or termination of any waiting period (or any extension thereof) under the Hart-Scott-Rodino Antitrust Improvements Act of 1976, as amended, applicable to the sale and issuance of the Purchased Shares (the “</w:t>
      </w:r>
      <w:r>
        <w:rPr>
          <w:rFonts w:ascii="Times New Roman" w:cs="Times New Roman" w:eastAsia="Times New Roman" w:hAnsi="Times New Roman"/>
          <w:sz w:val="18"/>
          <w:szCs w:val="18"/>
          <w:u w:val="single" w:color="auto"/>
          <w:color w:val="auto"/>
        </w:rPr>
        <w:t>HSR Waiting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except for such consents, approvals, authorizations, orders and registrations or qualifications (i) as will have been obtained or made on or prior to Closing and (ii) the failure of which to obtain or make would not, individually or in the aggregate, reasonably be expected to have a material adverse effect.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Conditions to Purchaser’s Obligations</w:t>
      </w:r>
      <w:r>
        <w:rPr>
          <w:rFonts w:ascii="Times New Roman" w:cs="Times New Roman" w:eastAsia="Times New Roman" w:hAnsi="Times New Roman"/>
          <w:sz w:val="18"/>
          <w:szCs w:val="18"/>
          <w:color w:val="auto"/>
        </w:rPr>
        <w:t>. The Purchaser’s obligation to purchase the Purchased Shares to be purchased by it hereunder is subject to the fulfillment, prior to or at the Closing, of the following conditions: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representations and warranties of the Company in this Agreement shall be correct when made and at the Closing.</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The Company shall have performed and complied with all agreements and conditions contained in this Agreement required to be performed or complied with by it prior to or at the Closing.</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           The Company shall have delivered to the Purchaser an officer’s certificate from the Company’s Chief Executive Officer, Chief Financial Officer, President, or other senior officer, dated the date of the Closing, certifying, on behalf of the Company and not in any personal capacity, that the conditions specified in Sections 1.7(a) and 1.7(b) have been fulfilled.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The Company shall have delivered to the Purchaser a certificate of its Secretary, dated the date of the Closing, certifying as to (i) the resolutions attached thereto and other proceedings relating to the authorization, issuance and sale of the Purchased Shares and the authorization, execution and delivery of this Agreement and (ii) the Company’s organizational documents as then in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The Company shall have delivered its counterpart signature to a registration rights agreement in substantially the form attached hereto as Exhibit B.</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No judgment, injunction, decree or other legal restraint (each, an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prohibiting the consummation of the transactions contemplated by this Agreement shall have been issued by any foreign, federal, state, commonwealth, provincial, local or other court, governmental authority, tribunal, commission or regulatory body or self-regulatory body (including any securities exchange), or any political or other subdivision, department, agency or branch of any of the foregoing (each, a “</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and be continuing in effect, there shall be no pending claim, action, demand, suit, proceeding, binding mediation or arbitration, demand, charge, subpoena, complaint or indictment, including before any Governmental Body or authorized arbitrator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commenced by a Governmental Body seeking an Order that would prohibit the transactions contemplated by this Agreement, and the consummation of the transactions contemplated by this Agreement shall not have been prohibited or rendered illegal under any applicable law.</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No consent, approval, authorization, order, registration or qualification of or with any court or arbitrator or governmental or regulatory authority shall be required for the execution, delivery and performance by the Company of the transactions contemplated by this Agreement, the issuance and sale of the Purchased Shares (including the issuance of Common Stock upon conversion thereof) and the consummation of the transactions contemplated by this Agreement (including, for the avoidance of doubt, the expiration or termination of the HSR Waiting Period) except for such consents, approvals, authorizations, orders and registrations or qualifications (i) as will have been obtained or made on or prior to Closing and (ii) the failure of which to obtain or make would not, individually or in the aggregate, reasonably be expected to have a material adverse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Purchaser Representations and Warranties</w:t>
      </w:r>
      <w:r>
        <w:rPr>
          <w:rFonts w:ascii="Times New Roman" w:cs="Times New Roman" w:eastAsia="Times New Roman" w:hAnsi="Times New Roman"/>
          <w:sz w:val="18"/>
          <w:szCs w:val="18"/>
          <w:color w:val="auto"/>
        </w:rPr>
        <w:t>. In connection with the purchase and sale of the Purchased Shares, the Purchaser represents and warrants to the Company that:</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(a)           The Purchaser understands that the Purchased Shares are “restricted securities”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applicable state securities laws and the Purchaser is acquiring the Purchased Shares as principal for its own account and not with a view to or for the purpose of distributing or reselling such securities or any part thereof in violation of the Securities Act or any applicable state securities law, has no present intention of distributing any of such Purchased Shares in violation of the Securities Act or any applicable state securities law and has no direct or indirect arrangement or understandings with any other persons to distribute or regarding the distribution of such Purchased Shares in violation of the Securities Act or any applicable state securities law.</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The Purchaser represents that it (i) is an “accredited investor” as defined in Rule 501(a) of Regulation D promulgated under the Securities Act, (ii) either alone or together with its representatives has such knowledge and experience in financial and business matters as to be capable of evaluating the merits and risks of this investment and make an informed decision to so invest, and has so evaluated the risks and merits of such investment and made such informed decision to so invest, (iii) has the ability to bear the economic risks of this investment and can afford a complete loss of such investment, (iv) understands the terms of and risks associated with the purchase of the Purchased Shares, including a lack of liquidity, pricing availability and risks associated with the industry in which the Company operates, (v) has had the opportunity to review such disclosure regarding the Company, its business and its financial condition as the Purchaser has determined to be necessary or relevant in connection with the purchase of the Purchased Shares, and has carefully reviewed such disclosure and (vi) has had a full opportunity to ask such questions and make such inquiries concerning the Company, its business and its financial condition as the Purchaser has deemed appropriate in connection with such purchase and to receive satisfactory answers to such questions and inquiries.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(c)           The Purchaser has full limited partnership power or other right, power, authority and capacity to enter into this Agreement and to consummate the transactions contemplated hereby and has taken all necessary action to authorize the execution, delivery and performance of this Agreement. This Agreement has been duly and validly authorized, executed and delivered by or on behalf of the Purchaser. Assuming due authorization, execution and delivery by or on behalf of the Company, this Agreement constitutes a legal, valid and binding obligation of such Purchaser enforceable against the Purchaser in accordance with its terms, subject to the qualification that the enforceability of the Purchaser's obligations thereunder may be limited by U.S. bankruptcy, insolvency, reorganization, moratorium, fraudulent conveyance and similar laws affecting creditors' rights generally, whether statutory or decisional, and to general equitable principles (regardless of whether enforcement is sought in a proceeding in equity or at law), and except as enforcement of rights to indemnity or contribution thereunder may be limited by federal or state securities laws.</w:t>
      </w:r>
    </w:p>
    <w:p>
      <w:pPr>
        <w:spacing w:after="0" w:line="188"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           The Purchaser understands that nothing in this Agreement or any other materials presented to Purchaser by or on behalf of the Company in connection with the purchase and sale of the Purchased Shares constitutes legal, tax or investment advice. The Purchaser has consulted such legal, tax and investment advisors as it, in its sole discretion, has deemed necessary or appropriate in connection with its purchase of Purchased Shares.</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(e)           The Purchaser is not (i) currently subject to any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European Union, the United Kingdom, or the United Nations or any other relevant sanctions authority or</w:t>
      </w:r>
    </w:p>
    <w:p>
      <w:pPr>
        <w:jc w:val="both"/>
        <w:ind w:left="660" w:hanging="4"/>
        <w:spacing w:after="0" w:line="253" w:lineRule="auto"/>
        <w:tabs>
          <w:tab w:leader="none" w:pos="9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subject to sanctions by OFAC or any other relevant sanctions authority; and the Purchaser will not knowingly use funds from any payment made pursuant to the terms of the Purchased Shares, or lend, contribute or otherwise make available such funds to any subsidiary, joint venture partner or other person or entity, for the purpose of financing the activities of any person currently subject to any U.S. sanctions administered by OFAC or any other relevant sanctions authority.</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Company Representations and Warranties</w:t>
      </w:r>
      <w:r>
        <w:rPr>
          <w:rFonts w:ascii="Times New Roman" w:cs="Times New Roman" w:eastAsia="Times New Roman" w:hAnsi="Times New Roman"/>
          <w:sz w:val="18"/>
          <w:szCs w:val="18"/>
          <w:color w:val="auto"/>
        </w:rPr>
        <w:t>. In connection with the purchase and sale of the Purchased Shares, the Company represents and warrants to the Purchaser that:</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 Company (i) has been duly formed and has legal existence as a Maryland corporation and is in good standing under the laws of the State of Maryland; and (ii) has full corporate power and authority to own, lease and operate its properties and assets, and conduct its business as currently conducted.</w:t>
      </w:r>
    </w:p>
    <w:p>
      <w:pPr>
        <w:spacing w:after="0" w:line="176" w:lineRule="exact"/>
        <w:rPr>
          <w:sz w:val="20"/>
          <w:szCs w:val="20"/>
          <w:color w:val="auto"/>
        </w:rPr>
      </w:pPr>
    </w:p>
    <w:p>
      <w:pPr>
        <w:jc w:val="both"/>
        <w:ind w:left="660" w:firstLine="648"/>
        <w:spacing w:after="0" w:line="273" w:lineRule="auto"/>
        <w:rPr>
          <w:sz w:val="20"/>
          <w:szCs w:val="20"/>
          <w:color w:val="auto"/>
        </w:rPr>
      </w:pPr>
      <w:r>
        <w:rPr>
          <w:rFonts w:ascii="Times New Roman" w:cs="Times New Roman" w:eastAsia="Times New Roman" w:hAnsi="Times New Roman"/>
          <w:sz w:val="17"/>
          <w:szCs w:val="17"/>
          <w:color w:val="auto"/>
        </w:rPr>
        <w:t>(b)           The Company has full corporate power and authority to enter into this Agreement and to perform all of the terms and provisions hereof to be carried out by it. This Agreement has been duly and validly authorized, executed and delivered by or on behalf of the Company. Assuming due authorization, execution and delivery by the other parties thereto, this Agreement constitutes a legal, valid and binding obligation of the Company enforceable in accordance with its terms, subject to the qualification that the enforceability of the Company’s obligations thereunder may be limited by U.S. bankruptcy, insolvency, reorganization, moratorium, fraudulent conveyance and similar laws affecting creditors’ rights generally, whether statutory or decisional, and to general equitable principles (regardless of whether enforcement is sought in a proceeding in equity or at law), and except as enforcement of rights to indemnity or contribution thereunder may be limited by federal or state securities laws.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(c)           The Purchased Shares to be issued and delivered to and paid for by the Purchaser in accordance with this Agreement have been duly authorized and when issued and delivered to the Purchaser against payment therefor as provided by this Agreement will have been validly issued and will be fully paid and nonassessable. The shares of Common Stock issuable upon conversion of the Purchased Shares have been duly authorized and when issued and delivered to the Purchaser pursuant to the terms of the Purchased Shares will be validly issued, fully paid and nonassessable.</w:t>
      </w:r>
    </w:p>
    <w:p>
      <w:pPr>
        <w:spacing w:after="0" w:line="18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(d)           The execution and delivery by the Company of this Agreement and the issuance and sale of the Purchased Shares do not and will not as of Closing (i) conflict with or result in a breach of the terms, conditions or provisions of the charter or the bylaws of the Company (in effect on the date hereof or as may be amended prior to Closing), (ii) conflict with or result in a breach or violation of any of the terms or provisions of, or constitute a default under, or result in the creation or imposition of any lien, charge or encumbrance upon any property or assets of the Company pursuant to, any indenture, mortgage, deed of trust, loan agreement or other material contract to which the Company is a party, or (iii) result in a violation of any material law, statute, rule, regulation, agreement, order, judgment or decree to which the Company is subject.</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(e)           Assuming the accuracy of the representations made by Purchaser in this Agreement, no consent, approval, order or authorization of, or registration, qualification, designation, declaration or filing with, any federal, state or local governmental authority is required on the part of the Company or its stockholders in connection with the consummation of the transactions contemplated by this Agreement except for filings pursuant to applicable federal or state securities laws, if any.</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(f)           The Company is not (i) currently subject to any sanctions administered by OFAC, the European Union, the United Kingdom, or the United Nations or any other relevant sanctions authority or (ii) located, organized or resident in a country or territory that is subject to sanctions by OFAC or any other relevant sanctions authority; and the Company will not knowingly use funds from any payment made pursuant to the terms of the Purchased Shares, or lend, contribute or otherwise make available such funds to any subsidiary, joint venture partner or other person or entity, for the purpose of financing the activities of any person currently subject to any U.S. sanctions administered by OFAC or any other relevant sanctions authority.</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(g)           Neither the Company nor any of its subsidiaries is a party to any contract, agreement or understanding with any person (other than this Agreement) that would give rise to a valid claim against any of them or the Purchaser for a brokerage commission, finder’s fee or like payment in connection with the issuance and sale of the Purchased Shares, except the Company’s financial advisor.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Restrictions on Transfer</w:t>
      </w:r>
      <w:r>
        <w:rPr>
          <w:rFonts w:ascii="Times New Roman" w:cs="Times New Roman" w:eastAsia="Times New Roman" w:hAnsi="Times New Roman"/>
          <w:sz w:val="18"/>
          <w:szCs w:val="18"/>
          <w:color w:val="auto"/>
        </w:rPr>
        <w:t>. Prior to the date that is one year following the issuance of the Purchased Shares (the “</w:t>
      </w:r>
      <w:r>
        <w:rPr>
          <w:rFonts w:ascii="Times New Roman" w:cs="Times New Roman" w:eastAsia="Times New Roman" w:hAnsi="Times New Roman"/>
          <w:sz w:val="18"/>
          <w:szCs w:val="18"/>
          <w:u w:val="single" w:color="auto"/>
          <w:color w:val="auto"/>
        </w:rPr>
        <w:t>Restriction Date</w:t>
      </w:r>
      <w:r>
        <w:rPr>
          <w:rFonts w:ascii="Times New Roman" w:cs="Times New Roman" w:eastAsia="Times New Roman" w:hAnsi="Times New Roman"/>
          <w:sz w:val="18"/>
          <w:szCs w:val="18"/>
          <w:color w:val="auto"/>
        </w:rPr>
        <w:t>”), the Purchaser shall not, sell, offer, pledge, sell any option or contract to purchase, purchase any option or contract to sell, grant any option, right or warrant to purchase, lend, otherwise transfer or dispose of or enter into any swap or other agreement, arrangement, hedge or transaction that transfers into another, in whole or in part, directly or indirectly, any of the economic consequences of ownership of, any Convertible Preferred Stock or shares of Common Stock into which the Convertible Preferred Stock has been or may be converted (any such transfer, disposal or similar arrangement,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provided, that the foregoing shall in no way restrict (i) the redemption of Preferred Stock by the Company pursuant to the Articles Supplementary or (ii) the exercise of the Purchaser’s option to convert the Purchased Shares into Common Stock pursuant to the terms of the Articles Supplementary. Following the Restriction Date the Purchaser shall notify the Board of Directors of the Company of any Transfer, substantially concurrently therewith.</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Tax Information</w:t>
      </w:r>
      <w:r>
        <w:rPr>
          <w:rFonts w:ascii="Times New Roman" w:cs="Times New Roman" w:eastAsia="Times New Roman" w:hAnsi="Times New Roman"/>
          <w:sz w:val="18"/>
          <w:szCs w:val="18"/>
          <w:color w:val="auto"/>
        </w:rPr>
        <w:t>. On the date of the Closing, the Purchaser shall deliver to the Company a valid and properly completed and executed IRS Form W-8IMY and underlying withholding certificates certifying the status of Purchaser’s regarded parent (for U.S. federal income tax purposes) as a “nonwithholding foreign partnership” the partners of which are all either “United States persons” or “withholding foreign partnerships” for U.S. federal income tax purposes. The Purchaser shall update or replace such form from time to time upon any subsequent inaccuracy and otherwise upon the Company’s reasonable request.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Listing of Common Stock</w:t>
      </w:r>
      <w:r>
        <w:rPr>
          <w:rFonts w:ascii="Times New Roman" w:cs="Times New Roman" w:eastAsia="Times New Roman" w:hAnsi="Times New Roman"/>
          <w:sz w:val="18"/>
          <w:szCs w:val="18"/>
          <w:color w:val="auto"/>
        </w:rPr>
        <w:t>. The Company covenants and agrees that the Company shall have listed, on the date of Closing, and will keep listed, so long as the Common Stock shall be so listed on such exchange or automated quotation system, any Common Stock issuable upon conversion of the Purchased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Survival of Representations, Warranties and Agreements</w:t>
      </w:r>
      <w:r>
        <w:rPr>
          <w:rFonts w:ascii="Times New Roman" w:cs="Times New Roman" w:eastAsia="Times New Roman" w:hAnsi="Times New Roman"/>
          <w:sz w:val="18"/>
          <w:szCs w:val="18"/>
          <w:color w:val="auto"/>
        </w:rPr>
        <w:t>. Notwithstanding any investigation made by any party to this Agreement, all covenants, agreements, representations and warranties made by the Company and the Purchaser hereby will survive the execution of this Agreement, the delivery to the Purchaser of the Purchased Shares and the payment by the Purchaser of the Purchase Price therefor for a period of one year.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represents the entire agreement among the parties with respect to the transactions contemplated herein and supersedes all prior agreements, written or oral, with respect thereto.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The provisions of this Agreement may be amended only with the prior written consent of the Company and the Purchaser. The failure of any party to insist upon strict adherence to any one or more of the covenants and restrictions in this Agreement, on one or more occasion, shall not be construed as a waiver, nor deprive such party of the right to require strict compliance thereafter with respect to the same. All waivers must be in writing and signed by the waiving party.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Except as otherwise agreed among the parties hereto and the Members of FS/KKR Advisor, LLC (the “</w:t>
      </w:r>
      <w:r>
        <w:rPr>
          <w:rFonts w:ascii="Times New Roman" w:cs="Times New Roman" w:eastAsia="Times New Roman" w:hAnsi="Times New Roman"/>
          <w:sz w:val="18"/>
          <w:szCs w:val="18"/>
          <w:u w:val="single" w:color="auto"/>
          <w:color w:val="auto"/>
        </w:rPr>
        <w:t>Advisor</w:t>
      </w:r>
      <w:r>
        <w:rPr>
          <w:rFonts w:ascii="Times New Roman" w:cs="Times New Roman" w:eastAsia="Times New Roman" w:hAnsi="Times New Roman"/>
          <w:sz w:val="18"/>
          <w:szCs w:val="18"/>
          <w:color w:val="auto"/>
        </w:rPr>
        <w:t>”), the Advisor agrees to pay all reasonable and documented out-of-pocket expenses, including reasonable fees and expenses of counsel and a financial advisor, incurred by the Company in connection with the negotiation and execution of this Agreement, the performance of its obligations hereunder, and the consummation of the transactions contemplated by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Agreement and all of the provisions hereof will be binding upon and inure to the benefit of the parties hereto and their respective successors and permitted assigns; provided, however, that neither this Agreement nor any of the rights, interests or obligations hereunder may be assigned by any party without the prior written consent of each other party.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shall be governed by, and construed in accordance with, the laws of the State of New York, without giving effect to the choice of law principles thereof.</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u w:val="single" w:color="auto"/>
          <w:color w:val="auto"/>
        </w:rPr>
        <w:t>  Exclusive Jurisdiction</w:t>
      </w:r>
      <w:r>
        <w:rPr>
          <w:rFonts w:ascii="Times New Roman" w:cs="Times New Roman" w:eastAsia="Times New Roman" w:hAnsi="Times New Roman"/>
          <w:sz w:val="18"/>
          <w:szCs w:val="18"/>
          <w:color w:val="auto"/>
        </w:rPr>
        <w:t>. Each of the parties (i) consents to submit itself to the exclusive jurisdiction of the courts of the State of New York located in the city and county of New York in any Proceeding arising out of or relating to this Agreement or any of the transactions contemplated hereby or if the subject matter jurisdiction over such Proceeding is vested exclusively in the federal courts of the United States of America, the federal courts of the United States of America located in the city and county of New York, (ii) agrees that all claims in respect of any such Proceeding may be heard and determined in any such court, (iii) agrees that it shall not attempt to deny or defeat such jurisdiction by motion or other request for leave from any such court, (iv) agrees not to bring any Proceeding arising out of or relating to this Agreement or any of the transactions contemplated hereby (whether in contract, tort, common or statutory law, equity or otherwise) in any other court and (v) agrees that a final, non-appealable judgment in any such Proceeding shall be conclusive and may be enforced in other jurisdictions by suit on the judgment or in any other manner provided by applicable law. Each of the parties waives any defense of inconvenient forum to the maintenance of any Proceeding brought in accordance with this Section 4.7.</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4.8           EACH PARTY WAIVES, TO THE FULLEST EXTENT PERMITTED BY APPLICABLE LAW, ANY RIGHT IT MAY HAVE TO A TRIAL BY JURY IN RESPECT OF ANY PROCEEDING ARISING OUT OF OR RELATING TO THIS AGREEMENT OR ANY OF THE TRANSACTIONS CONTEMPLATED HEREBY. EACH PARTY (i) CERTIFIES THAT NO REPRESENTATIVE OF THE OTHER PARTY HAS REPRESENTED, EXPRESSLY OR OTHERWISE, THAT SUCH OTHER PARTY WOULD NOT, IN THE EVENT OF LITIGATION, SEEK TO ENFORCE THE FOREGOING WAIVER, (ii) ACKNOWLEDGES THAT IT AND THE OTHER PARTY HAVE BEEN INDUCED TO ENTER INTO THIS AGREEMENT BY, AMONG OTHER THINGS, THE MUTUAL WAIVERS AND CERTIFICATIONS IN THIS SECTION 4.8, (iii) UNDERSTANDS AND HAS CONSIDERED THE IMPLICATIONS OF THIS WAIVER AND (iv) MAKES THIS WAIVER VOLUNTARILY.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counterparts, each of which shall be an original and all of which shall constitute a single agreement. Delivery of an executed signature page of this Agreement by facsimile or other electronic transmission shall be effective as delivery of a manually executed counterpart 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4.10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entity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entities or circumstances shall not be affected by such invalidity or unenforceability, nor shall such invalidity or unenforceability affect the validity or enforceability of such provision, or the application thereof, in any other jurisdiction.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4.11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 The construction of this Agreement shall not be affected by which party drafted this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4.12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of the sections and subsections hereof are provided for convenience only and shall not in any way affect the meaning or construction of any provision of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4.13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In connection with this Agreement and the transactions contemplated herein, each party to this Agreement shall execute and deliver any additional documents and instruments and perform any additional acts reasonably requested by the other party that may be necessary or appropriate to effectuate and perform the provisions of this Agreement and such transactions.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4.14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in connection with this Agreement among the parties hereto shall be in writing and shall be deemed to have been duly given or made on the date of delivery to the recipient thereof if received prior to 5:00 p.m. in the place of delivery and such date is a business day (or otherwise on the next succeeding business day) if (i) served by personal delivery or by an internationally recognized overnight courier to the person or entity for whom it is intended, (ii) delivered by registered or certified mail, return receipt requested, or (iii) sent by email (unless the sender receives a non-delivery message or automatically generated response), as provided in this Section 4.14:</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111111"/>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FS KKR Capital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3025 JFK Boulevard, Suite 500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Sypherd, Stephen; Allison Gunther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Dechert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2929 Arch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Eric Siegel; Clay Douglas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Purchaser,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KKR Alternative Assets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 Hudson Yards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425 Lexington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Kenneth Wallach; Lesley Peng; Patrick Baron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Purchase Agreement on the date first written above.</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FS KKR CAPITAL CORP.</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Stephen S. Sypherd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Stephen S. Sypherd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sectPr>
      </w:pPr>
    </w:p>
    <w:bookmarkStart w:id="14" w:name="page15"/>
    <w:bookmarkEnd w:id="14"/>
    <w:p>
      <w:pPr>
        <w:ind w:left="4500"/>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KKR ALTERNATIVE ASSETS L.P.</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KKR Alternative Assets Limited, its general partner</w:t>
      </w: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Robert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Robert Lewin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Sheet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Intentionally Omitted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June [●], 2026, is entered into by and between FS KKR Capital Corp., a Maryland corporation (including its successors,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xml:space="preserve">”), and KKR Alternative Assets L.P., a Delaware limited partnership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The following terms shall have the meanings set forth in this Section 1.1:</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have the meaning ascribed to such term in the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Corporation’s common stock, par value $0.001 per share.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or any similar federal statute, and the rules and regulations promulgated by the SEC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Registration</w:t>
      </w:r>
      <w:r>
        <w:rPr>
          <w:rFonts w:ascii="Times New Roman" w:cs="Times New Roman" w:eastAsia="Times New Roman" w:hAnsi="Times New Roman"/>
          <w:sz w:val="18"/>
          <w:szCs w:val="18"/>
          <w:color w:val="auto"/>
        </w:rPr>
        <w:t xml:space="preserve">” means a registration under the Securities Act of (i) securities pursuant to one or more Demand Registrations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(ii) securities registered on Form S-8 or any similar or successor form, (iii) securities registered to effect the acquisition of, or combination with, another Person and (iv) securities in connection with an exchange offer or dividend reinvestment plan.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means the Investment Company Act of 1940, as amended, and the rules and regulations promulgated by the SEC thereunder.</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corporation, joint venture, association, joint-stock corporation, trust, unincorporated organization or government or other agency or political subdivision thereof.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shall mean the Corporation’s Cumulative Convertible Perpetual Preferred Stock, par value $0.001 per share, convertible into Common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that certain purchase agreement, dated May 10, 2026, by and among the Corporation and the Holder.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a registration statement in compliance with the Securities Act, and the declaration or ordering of the effectiveness of such registration statement.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the shares of the Corporation’s Common Stock issuable upon conversion of the Preferred Stock by the Holder and all other shares of the Corporation’s Common Stock held by the Holder and its affiliates as of the Closing. As to any particular Registrable Securities, such Common Stock shall cease to be Registrable Securities when: (a) a registration statement with respect to the sale of such Common Stock shall have become effective under the Securities Act and such Common Stock shall have been disposed of in accordance with such registration statement; (b) such Common Stock shall have been sold to the public pursuant to Rule 144 under the Securities Act (or any successor provision); or (c) such Common Stock shall have ceased to be outstanding. Registrable Securities shall not include any shares of the Corporation’s Common Stock that have previously been registered for so long as such shares of Common Stock remain subject to a currently effective registration statement (including a Shelf Registration). In addition, such shares of Common Stock shall cease to be Registrable Securities if the market value of such shares is in the aggregate less than $25 million and such shares may be sold without restriction pursuant to Rule 144.</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other federal agency at the time administering the Securities Act.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or any similar federal statute, and the rules and regulations promulgated by the SEC thereunder.</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Other Terms</w:t>
      </w:r>
      <w:r>
        <w:rPr>
          <w:rFonts w:ascii="Times New Roman" w:cs="Times New Roman" w:eastAsia="Times New Roman" w:hAnsi="Times New Roman"/>
          <w:sz w:val="18"/>
          <w:szCs w:val="18"/>
          <w:color w:val="auto"/>
        </w:rPr>
        <w:t>. For purposes of this Agreement, the following terms have the meanings set forth in the section or agreement indicated.</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22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6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194"/>
        </w:trPr>
        <w:tc>
          <w:tcPr>
            <w:tcW w:w="3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Advice</w:t>
            </w:r>
          </w:p>
        </w:tc>
        <w:tc>
          <w:tcPr>
            <w:tcW w:w="8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Section 2.5</w:t>
            </w:r>
          </w:p>
        </w:tc>
        <w:tc>
          <w:tcPr>
            <w:tcW w:w="860" w:type="dxa"/>
            <w:vAlign w:val="bottom"/>
            <w:gridSpan w:val="7"/>
          </w:tcPr>
          <w:p>
            <w:pPr>
              <w:spacing w:after="0"/>
              <w:rPr>
                <w:sz w:val="16"/>
                <w:szCs w:val="16"/>
                <w:color w:val="auto"/>
              </w:rPr>
            </w:pP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6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Introductory Paragraph</w:t>
            </w:r>
          </w:p>
        </w:tc>
      </w:tr>
      <w:tr>
        <w:trPr>
          <w:trHeight w:val="194"/>
        </w:trPr>
        <w:tc>
          <w:tcPr>
            <w:tcW w:w="3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Blackout Period</w:t>
            </w:r>
          </w:p>
        </w:tc>
        <w:tc>
          <w:tcPr>
            <w:tcW w:w="168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Section 2.1.5</w:t>
            </w:r>
          </w:p>
        </w:tc>
      </w:tr>
      <w:tr>
        <w:trPr>
          <w:trHeight w:val="20"/>
        </w:trPr>
        <w:tc>
          <w:tcPr>
            <w:tcW w:w="33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6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Introductory Paragraph</w:t>
            </w:r>
          </w:p>
        </w:tc>
      </w:tr>
      <w:tr>
        <w:trPr>
          <w:trHeight w:val="194"/>
        </w:trPr>
        <w:tc>
          <w:tcPr>
            <w:tcW w:w="3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Demand Registration</w:t>
            </w:r>
          </w:p>
        </w:tc>
        <w:tc>
          <w:tcPr>
            <w:tcW w:w="114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rPr>
              <w:t>Section 2.1.1(i)</w:t>
            </w:r>
          </w:p>
        </w:tc>
        <w:tc>
          <w:tcPr>
            <w:tcW w:w="540" w:type="dxa"/>
            <w:vAlign w:val="bottom"/>
            <w:gridSpan w:val="3"/>
          </w:tcPr>
          <w:p>
            <w:pPr>
              <w:spacing w:after="0"/>
              <w:rPr>
                <w:sz w:val="16"/>
                <w:szCs w:val="16"/>
                <w:color w:val="auto"/>
              </w:rPr>
            </w:pPr>
          </w:p>
        </w:tc>
      </w:tr>
      <w:tr>
        <w:trPr>
          <w:trHeight w:val="196"/>
        </w:trPr>
        <w:tc>
          <w:tcPr>
            <w:tcW w:w="3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Demand Request</w:t>
            </w:r>
          </w:p>
        </w:tc>
        <w:tc>
          <w:tcPr>
            <w:tcW w:w="112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2.1.1(i)</w:t>
            </w:r>
          </w:p>
        </w:tc>
        <w:tc>
          <w:tcPr>
            <w:tcW w:w="560" w:type="dxa"/>
            <w:vAlign w:val="bottom"/>
            <w:gridSpan w:val="4"/>
          </w:tcPr>
          <w:p>
            <w:pPr>
              <w:spacing w:after="0"/>
              <w:rPr>
                <w:sz w:val="17"/>
                <w:szCs w:val="17"/>
                <w:color w:val="auto"/>
              </w:rPr>
            </w:pPr>
          </w:p>
        </w:tc>
      </w:tr>
      <w:tr>
        <w:trPr>
          <w:trHeight w:val="196"/>
        </w:trPr>
        <w:tc>
          <w:tcPr>
            <w:tcW w:w="3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FINRA</w:t>
            </w:r>
          </w:p>
        </w:tc>
        <w:tc>
          <w:tcPr>
            <w:tcW w:w="1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2.6.1</w:t>
            </w:r>
          </w:p>
        </w:tc>
      </w:tr>
      <w:tr>
        <w:trPr>
          <w:trHeight w:val="196"/>
        </w:trPr>
        <w:tc>
          <w:tcPr>
            <w:tcW w:w="3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N-2 Shelf</w:t>
            </w:r>
          </w:p>
        </w:tc>
        <w:tc>
          <w:tcPr>
            <w:tcW w:w="8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2.3</w:t>
            </w:r>
          </w:p>
        </w:tc>
        <w:tc>
          <w:tcPr>
            <w:tcW w:w="120" w:type="dxa"/>
            <w:vAlign w:val="bottom"/>
            <w:tcBorders>
              <w:top w:val="single" w:sz="8" w:color="auto"/>
            </w:tcBorders>
          </w:tcPr>
          <w:p>
            <w:pPr>
              <w:spacing w:after="0"/>
              <w:rPr>
                <w:sz w:val="17"/>
                <w:szCs w:val="17"/>
                <w:color w:val="auto"/>
              </w:rPr>
            </w:pPr>
          </w:p>
        </w:tc>
        <w:tc>
          <w:tcPr>
            <w:tcW w:w="740" w:type="dxa"/>
            <w:vAlign w:val="bottom"/>
            <w:gridSpan w:val="6"/>
          </w:tcPr>
          <w:p>
            <w:pPr>
              <w:spacing w:after="0"/>
              <w:rPr>
                <w:sz w:val="17"/>
                <w:szCs w:val="17"/>
                <w:color w:val="auto"/>
              </w:rPr>
            </w:pP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Holder</w:t>
            </w:r>
          </w:p>
        </w:tc>
        <w:tc>
          <w:tcPr>
            <w:tcW w:w="16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Introductory Paragraph</w:t>
            </w:r>
          </w:p>
        </w:tc>
      </w:tr>
      <w:tr>
        <w:trPr>
          <w:trHeight w:val="194"/>
        </w:trPr>
        <w:tc>
          <w:tcPr>
            <w:tcW w:w="3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Inspectors</w:t>
            </w:r>
          </w:p>
        </w:tc>
        <w:tc>
          <w:tcPr>
            <w:tcW w:w="1180" w:type="dxa"/>
            <w:vAlign w:val="bottom"/>
            <w:tcBorders>
              <w:bottom w:val="single" w:sz="8" w:color="auto"/>
            </w:tcBorders>
            <w:gridSpan w:val="7"/>
          </w:tcPr>
          <w:p>
            <w:pPr>
              <w:spacing w:after="0" w:line="194" w:lineRule="exact"/>
              <w:rPr>
                <w:sz w:val="20"/>
                <w:szCs w:val="20"/>
                <w:color w:val="auto"/>
              </w:rPr>
            </w:pPr>
            <w:r>
              <w:rPr>
                <w:rFonts w:ascii="Times New Roman" w:cs="Times New Roman" w:eastAsia="Times New Roman" w:hAnsi="Times New Roman"/>
                <w:sz w:val="18"/>
                <w:szCs w:val="18"/>
                <w:color w:val="auto"/>
                <w:w w:val="99"/>
              </w:rPr>
              <w:t>Section 2.4(xiii)</w:t>
            </w:r>
          </w:p>
        </w:tc>
        <w:tc>
          <w:tcPr>
            <w:tcW w:w="500" w:type="dxa"/>
            <w:vAlign w:val="bottom"/>
          </w:tcPr>
          <w:p>
            <w:pPr>
              <w:spacing w:after="0"/>
              <w:rPr>
                <w:sz w:val="16"/>
                <w:szCs w:val="16"/>
                <w:color w:val="auto"/>
              </w:rPr>
            </w:pPr>
          </w:p>
        </w:tc>
      </w:tr>
      <w:tr>
        <w:trPr>
          <w:trHeight w:val="196"/>
        </w:trPr>
        <w:tc>
          <w:tcPr>
            <w:tcW w:w="3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New York Courts</w:t>
            </w:r>
          </w:p>
        </w:tc>
        <w:tc>
          <w:tcPr>
            <w:tcW w:w="1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3.3.2</w:t>
            </w:r>
          </w:p>
        </w:tc>
      </w:tr>
      <w:tr>
        <w:trPr>
          <w:trHeight w:val="196"/>
        </w:trPr>
        <w:tc>
          <w:tcPr>
            <w:tcW w:w="3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Permitted Transferee</w:t>
            </w:r>
          </w:p>
        </w:tc>
        <w:tc>
          <w:tcPr>
            <w:tcW w:w="8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2.8</w:t>
            </w:r>
          </w:p>
        </w:tc>
        <w:tc>
          <w:tcPr>
            <w:tcW w:w="120" w:type="dxa"/>
            <w:vAlign w:val="bottom"/>
            <w:tcBorders>
              <w:top w:val="single" w:sz="8" w:color="auto"/>
            </w:tcBorders>
          </w:tcPr>
          <w:p>
            <w:pPr>
              <w:spacing w:after="0"/>
              <w:rPr>
                <w:sz w:val="17"/>
                <w:szCs w:val="17"/>
                <w:color w:val="auto"/>
              </w:rPr>
            </w:pPr>
          </w:p>
        </w:tc>
        <w:tc>
          <w:tcPr>
            <w:tcW w:w="740" w:type="dxa"/>
            <w:vAlign w:val="bottom"/>
            <w:gridSpan w:val="6"/>
          </w:tcPr>
          <w:p>
            <w:pPr>
              <w:spacing w:after="0"/>
              <w:rPr>
                <w:sz w:val="17"/>
                <w:szCs w:val="17"/>
                <w:color w:val="auto"/>
              </w:rPr>
            </w:pPr>
          </w:p>
        </w:tc>
      </w:tr>
      <w:tr>
        <w:trPr>
          <w:trHeight w:val="196"/>
        </w:trPr>
        <w:tc>
          <w:tcPr>
            <w:tcW w:w="3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Piggyback Registration</w:t>
            </w:r>
          </w:p>
        </w:tc>
        <w:tc>
          <w:tcPr>
            <w:tcW w:w="1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2.2.1</w:t>
            </w:r>
          </w:p>
        </w:tc>
      </w:tr>
      <w:tr>
        <w:trPr>
          <w:trHeight w:val="20"/>
        </w:trPr>
        <w:tc>
          <w:tcPr>
            <w:tcW w:w="33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96"/>
        </w:trPr>
        <w:tc>
          <w:tcPr>
            <w:tcW w:w="3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Required Filing Date</w:t>
            </w:r>
          </w:p>
        </w:tc>
        <w:tc>
          <w:tcPr>
            <w:tcW w:w="1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2.1.1(ii)</w:t>
            </w:r>
          </w:p>
        </w:tc>
      </w:tr>
      <w:tr>
        <w:trPr>
          <w:trHeight w:val="196"/>
        </w:trPr>
        <w:tc>
          <w:tcPr>
            <w:tcW w:w="3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Shelf Notice</w:t>
            </w:r>
          </w:p>
        </w:tc>
        <w:tc>
          <w:tcPr>
            <w:tcW w:w="8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2.3</w:t>
            </w:r>
          </w:p>
        </w:tc>
        <w:tc>
          <w:tcPr>
            <w:tcW w:w="340" w:type="dxa"/>
            <w:vAlign w:val="bottom"/>
            <w:tcBorders>
              <w:top w:val="single" w:sz="8" w:color="auto"/>
            </w:tcBorders>
            <w:gridSpan w:val="5"/>
          </w:tcPr>
          <w:p>
            <w:pPr>
              <w:spacing w:after="0"/>
              <w:rPr>
                <w:sz w:val="17"/>
                <w:szCs w:val="17"/>
                <w:color w:val="auto"/>
              </w:rPr>
            </w:pPr>
          </w:p>
        </w:tc>
        <w:tc>
          <w:tcPr>
            <w:tcW w:w="520" w:type="dxa"/>
            <w:vAlign w:val="bottom"/>
            <w:gridSpan w:val="2"/>
          </w:tcPr>
          <w:p>
            <w:pPr>
              <w:spacing w:after="0"/>
              <w:rPr>
                <w:sz w:val="17"/>
                <w:szCs w:val="17"/>
                <w:color w:val="auto"/>
              </w:rPr>
            </w:pPr>
          </w:p>
        </w:tc>
      </w:tr>
      <w:tr>
        <w:trPr>
          <w:trHeight w:val="196"/>
        </w:trPr>
        <w:tc>
          <w:tcPr>
            <w:tcW w:w="3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Shelf Registration</w:t>
            </w: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2.3</w:t>
            </w:r>
          </w:p>
        </w:tc>
        <w:tc>
          <w:tcPr>
            <w:tcW w:w="860" w:type="dxa"/>
            <w:vAlign w:val="bottom"/>
            <w:gridSpan w:val="7"/>
          </w:tcPr>
          <w:p>
            <w:pPr>
              <w:spacing w:after="0"/>
              <w:rPr>
                <w:sz w:val="17"/>
                <w:szCs w:val="17"/>
                <w:color w:val="auto"/>
              </w:rPr>
            </w:pPr>
          </w:p>
        </w:tc>
      </w:tr>
      <w:tr>
        <w:trPr>
          <w:trHeight w:val="196"/>
        </w:trPr>
        <w:tc>
          <w:tcPr>
            <w:tcW w:w="3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Sunset Date</w:t>
            </w:r>
          </w:p>
        </w:tc>
        <w:tc>
          <w:tcPr>
            <w:tcW w:w="104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2.11.1</w:t>
            </w:r>
          </w:p>
        </w:tc>
        <w:tc>
          <w:tcPr>
            <w:tcW w:w="640" w:type="dxa"/>
            <w:vAlign w:val="bottom"/>
            <w:gridSpan w:val="5"/>
          </w:tcPr>
          <w:p>
            <w:pPr>
              <w:spacing w:after="0"/>
              <w:rPr>
                <w:sz w:val="17"/>
                <w:szCs w:val="17"/>
                <w:color w:val="auto"/>
              </w:rPr>
            </w:pPr>
          </w:p>
        </w:tc>
      </w:tr>
      <w:tr>
        <w:trPr>
          <w:trHeight w:val="196"/>
        </w:trPr>
        <w:tc>
          <w:tcPr>
            <w:tcW w:w="3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Suspension Notice</w:t>
            </w: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2.5</w:t>
            </w:r>
          </w:p>
        </w:tc>
        <w:tc>
          <w:tcPr>
            <w:tcW w:w="860" w:type="dxa"/>
            <w:vAlign w:val="bottom"/>
            <w:gridSpan w:val="7"/>
          </w:tcPr>
          <w:p>
            <w:pPr>
              <w:spacing w:after="0"/>
              <w:rPr>
                <w:sz w:val="17"/>
                <w:szCs w:val="17"/>
                <w:color w:val="auto"/>
              </w:rPr>
            </w:pPr>
          </w:p>
        </w:tc>
      </w:tr>
      <w:tr>
        <w:trPr>
          <w:trHeight w:val="196"/>
        </w:trPr>
        <w:tc>
          <w:tcPr>
            <w:tcW w:w="3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Suspension Period</w:t>
            </w: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2.5</w:t>
            </w:r>
          </w:p>
        </w:tc>
        <w:tc>
          <w:tcPr>
            <w:tcW w:w="860" w:type="dxa"/>
            <w:vAlign w:val="bottom"/>
            <w:gridSpan w:val="7"/>
          </w:tcPr>
          <w:p>
            <w:pPr>
              <w:spacing w:after="0"/>
              <w:rPr>
                <w:sz w:val="17"/>
                <w:szCs w:val="17"/>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Rules of Construction</w:t>
      </w:r>
      <w:r>
        <w:rPr>
          <w:rFonts w:ascii="Times New Roman" w:cs="Times New Roman" w:eastAsia="Times New Roman" w:hAnsi="Times New Roman"/>
          <w:sz w:val="18"/>
          <w:szCs w:val="18"/>
          <w:color w:val="auto"/>
        </w:rPr>
        <w:t>. Unless the context otherwise requires</w:t>
      </w:r>
    </w:p>
    <w:p>
      <w:pPr>
        <w:spacing w:after="0" w:line="225" w:lineRule="exact"/>
        <w:rPr>
          <w:sz w:val="20"/>
          <w:szCs w:val="20"/>
          <w:color w:val="auto"/>
        </w:rPr>
      </w:pPr>
    </w:p>
    <w:p>
      <w:pPr>
        <w:ind w:left="2600" w:hanging="648"/>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ind w:left="2600" w:hanging="648"/>
        <w:spacing w:after="0"/>
        <w:tabs>
          <w:tab w:leader="none" w:pos="2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words in the plural include the singular; and</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Agreement as a whole and not to any particular Article, Section or other subdivision.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Demand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Section 2.1.1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Request for Registration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            From and after the date that is six months after the Closing (the “</w:t>
      </w:r>
      <w:r>
        <w:rPr>
          <w:rFonts w:ascii="Times New Roman" w:cs="Times New Roman" w:eastAsia="Times New Roman" w:hAnsi="Times New Roman"/>
          <w:sz w:val="18"/>
          <w:szCs w:val="18"/>
          <w:b w:val="1"/>
          <w:bCs w:val="1"/>
          <w:color w:val="auto"/>
        </w:rPr>
        <w:t>Registration Date</w:t>
      </w:r>
      <w:r>
        <w:rPr>
          <w:rFonts w:ascii="Times New Roman" w:cs="Times New Roman" w:eastAsia="Times New Roman" w:hAnsi="Times New Roman"/>
          <w:sz w:val="18"/>
          <w:szCs w:val="18"/>
          <w:color w:val="auto"/>
        </w:rPr>
        <w:t>”), the Holder shall have the right to require the Corporation to file a registration statement on Form N-2 (or any similar or successor form) under the Securities Act for a public offering of all or part of the Registrable Securities (a “</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by delivering to the Corporation written notice stating that such right is being exercised by the Holder, specifying the number of the Holder’s Registrable Securities to be included in such registration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hereof, describing the intended method of distribution thereof (a “</w:t>
      </w:r>
      <w:r>
        <w:rPr>
          <w:rFonts w:ascii="Times New Roman" w:cs="Times New Roman" w:eastAsia="Times New Roman" w:hAnsi="Times New Roman"/>
          <w:sz w:val="18"/>
          <w:szCs w:val="18"/>
          <w:b w:val="1"/>
          <w:bCs w:val="1"/>
          <w:color w:val="auto"/>
        </w:rPr>
        <w:t>Demand Request</w:t>
      </w:r>
      <w:r>
        <w:rPr>
          <w:rFonts w:ascii="Times New Roman" w:cs="Times New Roman" w:eastAsia="Times New Roman" w:hAnsi="Times New Roman"/>
          <w:sz w:val="18"/>
          <w:szCs w:val="18"/>
          <w:color w:val="auto"/>
        </w:rPr>
        <w:t xml:space="preserve">”); provided that a Demand Request may be provided prior to the Registration Date but the Corporation shall not be obligated to effect a Demand Registration (i) with respect to the Preferred Stock or any shares of Common Stock issued upon conversion thereof, until the date that is six months after the Registration Date, or (ii) with respect to other Registrable Securities, until the later of (x) the Registration Date and (y) the date on which the Company’s stock repurchase program implemented on or around the Closing has been terminated in accordance with its terms. The Holder may exercise its respective rights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the Holder’s sole discretion. The Corporation shall not be obligated to effect more than three Demand Requests in any 365-day period.</w:t>
      </w:r>
    </w:p>
    <w:p>
      <w:pPr>
        <w:spacing w:after="0" w:line="189"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(ii)           Each Demand Request shall specify the aggregate number of Registrable Securities proposed to be sold.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the Corporation </w:t>
      </w:r>
      <w:r>
        <w:rPr>
          <w:rFonts w:ascii="Times New Roman" w:cs="Times New Roman" w:eastAsia="Times New Roman" w:hAnsi="Times New Roman"/>
          <w:sz w:val="18"/>
          <w:szCs w:val="18"/>
          <w:color w:val="313131"/>
        </w:rPr>
        <w:t>shall</w:t>
      </w:r>
      <w:r>
        <w:rPr>
          <w:rFonts w:ascii="Times New Roman" w:cs="Times New Roman" w:eastAsia="Times New Roman" w:hAnsi="Times New Roman"/>
          <w:sz w:val="18"/>
          <w:szCs w:val="18"/>
          <w:color w:val="auto"/>
        </w:rPr>
        <w:t xml:space="preserve"> use commercially reasonable efforts to file the </w:t>
      </w:r>
      <w:r>
        <w:rPr>
          <w:rFonts w:ascii="Times New Roman" w:cs="Times New Roman" w:eastAsia="Times New Roman" w:hAnsi="Times New Roman"/>
          <w:sz w:val="18"/>
          <w:szCs w:val="18"/>
          <w:color w:val="111111"/>
        </w:rPr>
        <w:t>registration statement in respect of a Demand Registration within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days after receiving a Demand Request (the “</w:t>
      </w:r>
      <w:r>
        <w:rPr>
          <w:rFonts w:ascii="Times New Roman" w:cs="Times New Roman" w:eastAsia="Times New Roman" w:hAnsi="Times New Roman"/>
          <w:sz w:val="18"/>
          <w:szCs w:val="18"/>
          <w:b w:val="1"/>
          <w:bCs w:val="1"/>
          <w:color w:val="111111"/>
        </w:rPr>
        <w:t>Required Filing Date</w:t>
      </w:r>
      <w:r>
        <w:rPr>
          <w:rFonts w:ascii="Times New Roman" w:cs="Times New Roman" w:eastAsia="Times New Roman" w:hAnsi="Times New Roman"/>
          <w:sz w:val="18"/>
          <w:szCs w:val="18"/>
          <w:color w:val="111111"/>
        </w:rPr>
        <w:t xml:space="preserve">”) and shall use commercially reasonable efforts to cause the same to be declared effective by the SEC as promptly as practicable after such filing; </w:t>
      </w:r>
      <w:r>
        <w:rPr>
          <w:rFonts w:ascii="Times New Roman" w:cs="Times New Roman" w:eastAsia="Times New Roman" w:hAnsi="Times New Roman"/>
          <w:sz w:val="18"/>
          <w:szCs w:val="18"/>
          <w:u w:val="single" w:color="auto"/>
          <w:color w:val="111111"/>
        </w:rPr>
        <w:t>provided</w:t>
      </w:r>
      <w:r>
        <w:rPr>
          <w:rFonts w:ascii="Times New Roman" w:cs="Times New Roman" w:eastAsia="Times New Roman" w:hAnsi="Times New Roman"/>
          <w:sz w:val="18"/>
          <w:szCs w:val="18"/>
          <w:color w:val="494949"/>
        </w:rPr>
        <w:t>,</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u w:val="single" w:color="auto"/>
          <w:color w:val="111111"/>
        </w:rPr>
        <w:t>however</w:t>
      </w:r>
      <w:r>
        <w:rPr>
          <w:rFonts w:ascii="Times New Roman" w:cs="Times New Roman" w:eastAsia="Times New Roman" w:hAnsi="Times New Roman"/>
          <w:sz w:val="18"/>
          <w:szCs w:val="18"/>
          <w:color w:val="111111"/>
        </w:rPr>
        <w:t xml:space="preserve">, that the Corporation shall not be obligated to file or cause a registration statement with respect to a Demand Registration to be declared effective pursuant to this </w:t>
      </w:r>
      <w:r>
        <w:rPr>
          <w:rFonts w:ascii="Times New Roman" w:cs="Times New Roman" w:eastAsia="Times New Roman" w:hAnsi="Times New Roman"/>
          <w:sz w:val="18"/>
          <w:szCs w:val="18"/>
          <w:u w:val="single" w:color="auto"/>
          <w:color w:val="111111"/>
        </w:rPr>
        <w:t>Section 2.1.1</w:t>
      </w:r>
      <w:r>
        <w:rPr>
          <w:rFonts w:ascii="Times New Roman" w:cs="Times New Roman" w:eastAsia="Times New Roman" w:hAnsi="Times New Roman"/>
          <w:sz w:val="18"/>
          <w:szCs w:val="18"/>
          <w:color w:val="111111"/>
        </w:rPr>
        <w:t xml:space="preserve"> within 90 days after the effective date of a previous Demand Registration, other than a Shelf Registration pursuant to this </w:t>
      </w:r>
      <w:r>
        <w:rPr>
          <w:rFonts w:ascii="Times New Roman" w:cs="Times New Roman" w:eastAsia="Times New Roman" w:hAnsi="Times New Roman"/>
          <w:sz w:val="18"/>
          <w:szCs w:val="18"/>
          <w:u w:val="single" w:color="auto"/>
          <w:color w:val="111111"/>
        </w:rPr>
        <w:t>Article 2</w:t>
      </w:r>
      <w:r>
        <w:rPr>
          <w:rFonts w:ascii="Times New Roman" w:cs="Times New Roman" w:eastAsia="Times New Roman" w:hAnsi="Times New Roman"/>
          <w:sz w:val="18"/>
          <w:szCs w:val="18"/>
          <w:color w:val="111111"/>
        </w:rPr>
        <w:t>;</w:t>
      </w:r>
    </w:p>
    <w:p>
      <w:pPr>
        <w:spacing w:after="0" w:line="187"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(iii)          The Corporation shall not be obligated to cause a registration statement with respect to a Demand Registration to be declared effective pursuant to </w:t>
      </w:r>
      <w:r>
        <w:rPr>
          <w:rFonts w:ascii="Times New Roman" w:cs="Times New Roman" w:eastAsia="Times New Roman" w:hAnsi="Times New Roman"/>
          <w:sz w:val="18"/>
          <w:szCs w:val="18"/>
          <w:u w:val="single" w:color="auto"/>
          <w:color w:val="auto"/>
        </w:rPr>
        <w:t>Section 2.1.1(ii)</w:t>
      </w:r>
      <w:r>
        <w:rPr>
          <w:rFonts w:ascii="Times New Roman" w:cs="Times New Roman" w:eastAsia="Times New Roman" w:hAnsi="Times New Roman"/>
          <w:sz w:val="18"/>
          <w:szCs w:val="18"/>
          <w:color w:val="auto"/>
        </w:rPr>
        <w:t xml:space="preserve"> unless the Demand Request is for a number of Registrable Securities with a market value that is equal to at least </w:t>
      </w:r>
      <w:r>
        <w:rPr>
          <w:rFonts w:ascii="Times New Roman" w:cs="Times New Roman" w:eastAsia="Times New Roman" w:hAnsi="Times New Roman"/>
          <w:sz w:val="18"/>
          <w:szCs w:val="18"/>
          <w:color w:val="343434"/>
        </w:rPr>
        <w:t>$15</w:t>
      </w:r>
      <w:r>
        <w:rPr>
          <w:rFonts w:ascii="Times New Roman" w:cs="Times New Roman" w:eastAsia="Times New Roman" w:hAnsi="Times New Roman"/>
          <w:sz w:val="18"/>
          <w:szCs w:val="18"/>
          <w:color w:val="auto"/>
        </w:rPr>
        <w:t xml:space="preserve"> million as of the date of such Demand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2.1.1(iii)</w:t>
      </w:r>
      <w:r>
        <w:rPr>
          <w:rFonts w:ascii="Times New Roman" w:cs="Times New Roman" w:eastAsia="Times New Roman" w:hAnsi="Times New Roman"/>
          <w:sz w:val="18"/>
          <w:szCs w:val="18"/>
          <w:color w:val="auto"/>
        </w:rPr>
        <w:t xml:space="preserve"> shall not apply if the applicable Demand Request is for all of the Registrable Securities as of the date of such Demand Request;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(iv)          The Holder shall have the right to withdraw a Demand Request at any time prior to the relevant registration statement being filed with the SEC in which event such withdrawn request shall not count as a Demand Request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2.1.2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Priority on Demand Registrations</w:t>
      </w:r>
      <w:r>
        <w:rPr>
          <w:rFonts w:ascii="Times New Roman" w:cs="Times New Roman" w:eastAsia="Times New Roman" w:hAnsi="Times New Roman"/>
          <w:sz w:val="18"/>
          <w:szCs w:val="18"/>
          <w:color w:val="auto"/>
        </w:rPr>
        <w:t>. The Corporation shall include in a Demand Registration only the Registrable Securities requested by the Holder to be included therein.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2.1.3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Selection of Underwriters; Plan of Distribution</w:t>
      </w:r>
      <w:r>
        <w:rPr>
          <w:rFonts w:ascii="Times New Roman" w:cs="Times New Roman" w:eastAsia="Times New Roman" w:hAnsi="Times New Roman"/>
          <w:sz w:val="18"/>
          <w:szCs w:val="18"/>
          <w:color w:val="auto"/>
        </w:rPr>
        <w:t>. The Holder (i) may request that the offering of Registrable Securities pursuant to a Demand Registration be in the form of a “firm commitment” underwritten offering or any other plan of distribution as specified by the Holder and (ii) may, in consultation with the Corporation, select the investment banking firm or firms to manage the underwritten offering. Notwithstanding the foregoing, the Holder may not require an underwritten offering with respect to a number of Registrable Securities reasonably expected to result in net proceeds of less than $25 million to the Holder participating in such offering.</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2.1.4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Representations, Warranties and Indemnification</w:t>
      </w:r>
      <w:r>
        <w:rPr>
          <w:rFonts w:ascii="Times New Roman" w:cs="Times New Roman" w:eastAsia="Times New Roman" w:hAnsi="Times New Roman"/>
          <w:sz w:val="18"/>
          <w:szCs w:val="18"/>
          <w:color w:val="auto"/>
        </w:rPr>
        <w:t xml:space="preserve">. The Holder may not participate in any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unless the Holder (x) agrees to sell its Registrable Securities on the basis provided in the underwriting arrangements with respect to such offering and (y) completes and executes all questionnaires, powers of attorney, indemnities, underwriting agreements and other documents and delivers all opinions, each in customary form, reasonably required under the terms of such underwriting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Holder shall not be required to make any representations or warranties in connection with any such registration other than representations and warranties as to (i) the Holder’s ownership of its Registrable Securities to be sold or transferred free and clear of all encumbrances, (ii) the Holder’s power and authority to effect such transfer, and (iii) such matters pertaining to compliance with securities laws as may be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obligation of the Holder to indemnify pursuant to any such underwriting arrangements shall be several, not joint and several, among any of the other parties to such underwriting arrangements, and the liability of the Holder will be in proportion thereto,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so long as the Holder is not the investment adviser to the Corporation, under the terms of any such agreement such liability will be limited to the net amount received by the Holder from the sale of its Registrable Securities pursuant to such registration;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so long as the Holder is not the investment adviser to the Corporation, any such indemnification provided by the Holder shall be limited under the terms of any such agreement to indemnification for information provided by the Holder relating to it specifically for inclusion in the registration statement.</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2.1.5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Deferral of Filin</w:t>
      </w:r>
      <w:r>
        <w:rPr>
          <w:rFonts w:ascii="Times New Roman" w:cs="Times New Roman" w:eastAsia="Times New Roman" w:hAnsi="Times New Roman"/>
          <w:sz w:val="18"/>
          <w:szCs w:val="18"/>
          <w:color w:val="auto"/>
        </w:rPr>
        <w:t xml:space="preserve">g. During any calendar year, the Corporation may defer the filing (but not the preparation) of a registration statement required by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after the Required Filing Date if at the time the Corporation receives the Demand Request, the Corporation or any of its subsidiaries are engaged in confidential negotiations or other confidential business activities or actively considering a securities offering by the Corporation or another material transaction, disclosure of which would be required in such registration statement (but would not be required on or before the Required Filing Date if such registration statement were not filed), and the board </w:t>
      </w:r>
      <w:r>
        <w:rPr>
          <w:rFonts w:ascii="Times New Roman" w:cs="Times New Roman" w:eastAsia="Times New Roman" w:hAnsi="Times New Roman"/>
          <w:sz w:val="18"/>
          <w:szCs w:val="18"/>
          <w:color w:val="111111"/>
        </w:rPr>
        <w:t>of directors of the Corporation or a committee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 xml:space="preserve">board of directors of the Corporation reasonably determines in good faith that such disclosure would have a material adverse effect on the Corporation or its security holders (any such period during which such filing is deferred pursuant to this </w:t>
      </w:r>
      <w:r>
        <w:rPr>
          <w:rFonts w:ascii="Times New Roman" w:cs="Times New Roman" w:eastAsia="Times New Roman" w:hAnsi="Times New Roman"/>
          <w:sz w:val="18"/>
          <w:szCs w:val="18"/>
          <w:u w:val="single" w:color="auto"/>
          <w:color w:val="111111"/>
        </w:rPr>
        <w:t>Section 2.1.5</w:t>
      </w:r>
      <w:r>
        <w:rPr>
          <w:rFonts w:ascii="Times New Roman" w:cs="Times New Roman" w:eastAsia="Times New Roman" w:hAnsi="Times New Roman"/>
          <w:sz w:val="18"/>
          <w:szCs w:val="18"/>
          <w:color w:val="111111"/>
        </w:rPr>
        <w:t>, a “</w:t>
      </w:r>
      <w:r>
        <w:rPr>
          <w:rFonts w:ascii="Times New Roman" w:cs="Times New Roman" w:eastAsia="Times New Roman" w:hAnsi="Times New Roman"/>
          <w:sz w:val="18"/>
          <w:szCs w:val="18"/>
          <w:b w:val="1"/>
          <w:bCs w:val="1"/>
          <w:color w:val="111111"/>
        </w:rPr>
        <w:t>Blackout Period</w:t>
      </w:r>
      <w:r>
        <w:rPr>
          <w:rFonts w:ascii="Times New Roman" w:cs="Times New Roman" w:eastAsia="Times New Roman" w:hAnsi="Times New Roman"/>
          <w:sz w:val="18"/>
          <w:szCs w:val="18"/>
          <w:color w:val="111111"/>
        </w:rPr>
        <w:t xml:space="preserve">”). The Corporation may only exercise its right to defer a registration statement pursuant to this </w:t>
      </w:r>
      <w:r>
        <w:rPr>
          <w:rFonts w:ascii="Times New Roman" w:cs="Times New Roman" w:eastAsia="Times New Roman" w:hAnsi="Times New Roman"/>
          <w:sz w:val="18"/>
          <w:szCs w:val="18"/>
          <w:u w:val="single" w:color="auto"/>
          <w:color w:val="111111"/>
        </w:rPr>
        <w:t>Section 2.1.5</w:t>
      </w:r>
      <w:r>
        <w:rPr>
          <w:rFonts w:ascii="Times New Roman" w:cs="Times New Roman" w:eastAsia="Times New Roman" w:hAnsi="Times New Roman"/>
          <w:sz w:val="18"/>
          <w:szCs w:val="18"/>
          <w:color w:val="111111"/>
        </w:rPr>
        <w:t xml:space="preserve"> twice in any calendar year and for no more than 90 calendar days in the aggregate during such calendar year. A deferral of the filing of a registration statement pursuant to </w:t>
      </w:r>
      <w:r>
        <w:rPr>
          <w:rFonts w:ascii="Times New Roman" w:cs="Times New Roman" w:eastAsia="Times New Roman" w:hAnsi="Times New Roman"/>
          <w:sz w:val="18"/>
          <w:szCs w:val="18"/>
          <w:u w:val="single" w:color="auto"/>
          <w:color w:val="111111"/>
        </w:rPr>
        <w:t>Section 2.1.5</w:t>
      </w:r>
      <w:r>
        <w:rPr>
          <w:rFonts w:ascii="Times New Roman" w:cs="Times New Roman" w:eastAsia="Times New Roman" w:hAnsi="Times New Roman"/>
          <w:sz w:val="18"/>
          <w:szCs w:val="18"/>
          <w:color w:val="111111"/>
        </w:rPr>
        <w:t xml:space="preserve"> shall be lifted, and the requested registration statement shall be filed forthwith, if the negotiations or other activities are disclosed or terminated. In order to defer the filing of a registration statement pursuant to this </w:t>
      </w:r>
      <w:r>
        <w:rPr>
          <w:rFonts w:ascii="Times New Roman" w:cs="Times New Roman" w:eastAsia="Times New Roman" w:hAnsi="Times New Roman"/>
          <w:sz w:val="18"/>
          <w:szCs w:val="18"/>
          <w:u w:val="single" w:color="auto"/>
          <w:color w:val="111111"/>
        </w:rPr>
        <w:t>Section 2.1.5</w:t>
      </w:r>
      <w:r>
        <w:rPr>
          <w:rFonts w:ascii="Times New Roman" w:cs="Times New Roman" w:eastAsia="Times New Roman" w:hAnsi="Times New Roman"/>
          <w:sz w:val="18"/>
          <w:szCs w:val="18"/>
          <w:color w:val="111111"/>
        </w:rPr>
        <w:t>, the Corporation shall within 10 days of receipt of the Demand Request</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11111"/>
        </w:rPr>
        <w:t xml:space="preserve"> deliver to the Holder a certificate signed by an executive officer of the Corporation </w:t>
      </w:r>
      <w:r>
        <w:rPr>
          <w:rFonts w:ascii="Times New Roman" w:cs="Times New Roman" w:eastAsia="Times New Roman" w:hAnsi="Times New Roman"/>
          <w:sz w:val="18"/>
          <w:szCs w:val="18"/>
          <w:color w:val="282828"/>
        </w:rPr>
        <w:t>stating</w:t>
      </w:r>
      <w:r>
        <w:rPr>
          <w:rFonts w:ascii="Times New Roman" w:cs="Times New Roman" w:eastAsia="Times New Roman" w:hAnsi="Times New Roman"/>
          <w:sz w:val="18"/>
          <w:szCs w:val="18"/>
          <w:color w:val="111111"/>
        </w:rPr>
        <w:t xml:space="preserve"> that the Corporation is deferring such filing pursuant to this </w:t>
      </w:r>
      <w:r>
        <w:rPr>
          <w:rFonts w:ascii="Times New Roman" w:cs="Times New Roman" w:eastAsia="Times New Roman" w:hAnsi="Times New Roman"/>
          <w:sz w:val="18"/>
          <w:szCs w:val="18"/>
          <w:u w:val="single" w:color="auto"/>
          <w:color w:val="111111"/>
        </w:rPr>
        <w:t>Section 2.1.5</w:t>
      </w:r>
      <w:r>
        <w:rPr>
          <w:rFonts w:ascii="Times New Roman" w:cs="Times New Roman" w:eastAsia="Times New Roman" w:hAnsi="Times New Roman"/>
          <w:sz w:val="18"/>
          <w:szCs w:val="18"/>
          <w:color w:val="111111"/>
        </w:rPr>
        <w:t xml:space="preserve"> (subject to execution of a confidentiality agreement if required by law or contract) and a general statement of the reason for such deferral and an approximation of the anticipated delay. Within 20 days after receiving such certificate, the Holder may withdraw such Demand Request by giving notice to the Corporation; if withdrawn, the Demand Request shall be deemed not to have been made for all purposes of this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Piggyback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2.2.1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Right to Piggyback</w:t>
      </w:r>
      <w:r>
        <w:rPr>
          <w:rFonts w:ascii="Times New Roman" w:cs="Times New Roman" w:eastAsia="Times New Roman" w:hAnsi="Times New Roman"/>
          <w:sz w:val="18"/>
          <w:szCs w:val="18"/>
          <w:color w:val="auto"/>
        </w:rPr>
        <w:t xml:space="preserve">. Each time the Corporation proposes to register any of its equity securities (other than pursuant to an </w:t>
      </w:r>
      <w:r>
        <w:rPr>
          <w:rFonts w:ascii="Times New Roman" w:cs="Times New Roman" w:eastAsia="Times New Roman" w:hAnsi="Times New Roman"/>
          <w:sz w:val="18"/>
          <w:szCs w:val="18"/>
          <w:color w:val="282828"/>
        </w:rPr>
        <w:t xml:space="preserve">Excluded </w:t>
      </w:r>
      <w:r>
        <w:rPr>
          <w:rFonts w:ascii="Times New Roman" w:cs="Times New Roman" w:eastAsia="Times New Roman" w:hAnsi="Times New Roman"/>
          <w:sz w:val="18"/>
          <w:szCs w:val="18"/>
          <w:color w:val="000000"/>
        </w:rPr>
        <w:t>Registration) under the Securities Act for sale to the public (whether for the account of the Corporation or the account of any security holder of</w:t>
      </w:r>
      <w:r>
        <w:rPr>
          <w:rFonts w:ascii="Times New Roman" w:cs="Times New Roman" w:eastAsia="Times New Roman" w:hAnsi="Times New Roman"/>
          <w:sz w:val="18"/>
          <w:szCs w:val="18"/>
          <w:color w:val="282828"/>
        </w:rPr>
        <w:t xml:space="preserve"> </w:t>
      </w:r>
      <w:r>
        <w:rPr>
          <w:rFonts w:ascii="Times New Roman" w:cs="Times New Roman" w:eastAsia="Times New Roman" w:hAnsi="Times New Roman"/>
          <w:sz w:val="18"/>
          <w:szCs w:val="18"/>
          <w:color w:val="000000"/>
        </w:rPr>
        <w:t>the Corporation other than the Holder) (a “</w:t>
      </w:r>
      <w:r>
        <w:rPr>
          <w:rFonts w:ascii="Times New Roman" w:cs="Times New Roman" w:eastAsia="Times New Roman" w:hAnsi="Times New Roman"/>
          <w:sz w:val="18"/>
          <w:szCs w:val="18"/>
          <w:b w:val="1"/>
          <w:bCs w:val="1"/>
          <w:color w:val="000000"/>
        </w:rPr>
        <w:t>Piggyback Registration</w:t>
      </w:r>
      <w:r>
        <w:rPr>
          <w:rFonts w:ascii="Times New Roman" w:cs="Times New Roman" w:eastAsia="Times New Roman" w:hAnsi="Times New Roman"/>
          <w:sz w:val="18"/>
          <w:szCs w:val="18"/>
          <w:color w:val="000000"/>
        </w:rPr>
        <w:t xml:space="preserve">”), if any Registrable Securities are outstanding at such time the Corporation shall give prompt written notice to the Holder (which notice shall be given not less than 20 days prior to the anticipated filing date of the first preliminary prospectus related to such registration of equity securities), which notice shall offer the Holder the opportunity to include any or all of its Registrable Securities in such registration statement, subject to the limitations contained in </w:t>
      </w:r>
      <w:r>
        <w:rPr>
          <w:rFonts w:ascii="Times New Roman" w:cs="Times New Roman" w:eastAsia="Times New Roman" w:hAnsi="Times New Roman"/>
          <w:sz w:val="18"/>
          <w:szCs w:val="18"/>
          <w:u w:val="single" w:color="auto"/>
          <w:color w:val="000000"/>
        </w:rPr>
        <w:t>Section 2.2.2</w:t>
      </w:r>
      <w:r>
        <w:rPr>
          <w:rFonts w:ascii="Times New Roman" w:cs="Times New Roman" w:eastAsia="Times New Roman" w:hAnsi="Times New Roman"/>
          <w:sz w:val="18"/>
          <w:szCs w:val="18"/>
          <w:color w:val="000000"/>
        </w:rPr>
        <w:t xml:space="preserve"> hereof. If the Holder desires to have its Registrable Securities included in such registration statement, it shall so advise the Corporation in writing (stating the number of shares desired to be registered) within 7 days after the date of such notice from the Corporation. The Holder shall have the right to withdraw its request for inclusion of Registrable Securities in any registration statement pursuant to this </w:t>
      </w:r>
      <w:r>
        <w:rPr>
          <w:rFonts w:ascii="Times New Roman" w:cs="Times New Roman" w:eastAsia="Times New Roman" w:hAnsi="Times New Roman"/>
          <w:sz w:val="18"/>
          <w:szCs w:val="18"/>
          <w:u w:val="single" w:color="auto"/>
          <w:color w:val="000000"/>
        </w:rPr>
        <w:t>Section 2.2.1</w:t>
      </w:r>
      <w:r>
        <w:rPr>
          <w:rFonts w:ascii="Times New Roman" w:cs="Times New Roman" w:eastAsia="Times New Roman" w:hAnsi="Times New Roman"/>
          <w:sz w:val="18"/>
          <w:szCs w:val="18"/>
          <w:color w:val="000000"/>
        </w:rPr>
        <w:t xml:space="preserve"> by giving written notice to the Corporation of such withdrawal. The Corporation shall include in such registration statement all such Registrable Securities so requested to be included therein;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Corporation may at any time withdraw or cease proceeding with any such registration if it shall at the same time withdraw or cease proceeding with the registration of all other equity securities originally proposed to be registered.</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Section 2.2.2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Priority on Piggyback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            If a Piggyback Registration relates to an underwritten offering and was initiated by the Corporation, the Corporation shall include in </w:t>
      </w:r>
      <w:r>
        <w:rPr>
          <w:rFonts w:ascii="Times New Roman" w:cs="Times New Roman" w:eastAsia="Times New Roman" w:hAnsi="Times New Roman"/>
          <w:sz w:val="18"/>
          <w:szCs w:val="18"/>
          <w:color w:val="282828"/>
        </w:rPr>
        <w:t>such</w:t>
      </w:r>
      <w:r>
        <w:rPr>
          <w:rFonts w:ascii="Times New Roman" w:cs="Times New Roman" w:eastAsia="Times New Roman" w:hAnsi="Times New Roman"/>
          <w:sz w:val="18"/>
          <w:szCs w:val="18"/>
          <w:color w:val="auto"/>
        </w:rPr>
        <w:t xml:space="preserve"> registration statement (a) first</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auto"/>
        </w:rPr>
        <w:t xml:space="preserve"> the securities the Corporation proposes to sell, (b) second, if and to the extent the managing underwriter or underwriters advise the Corporation that the inclusion thereof will not prevent the sale of the securities described in clause (a) in an orderly manner at a price acceptable to the Corporation, the Registrable Securities requested to be included in such registration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and (c) third, if and to the extent the managing underwriter or underwriters advise the Corporation that the inclusion thereof will not prevent the sale of the securities described in clause (a) in an orderly manner at a price acceptable to the Corporation, any other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(ii)           If a Piggyback Registration relates to an underwritten offering and was initiated by a security holder of the Corporation other than the Holder, the Corporation shall include in such registration statement (a) first, the securities requested to be included therein by the security holders requesting such registration, and (b) second, if and to the extent the managing underwriter or underwriters advise the Corporation that the inclusion thereof will not prevent the sale of the securities described in clause (a) in an orderly manner at a price acceptable to the holders of those securities, any Registrable Securities requested to be included in such registration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(iii)          The Holder may not participate in any Piggyback Registration hereunder unless it (x) agrees to </w:t>
      </w:r>
      <w:r>
        <w:rPr>
          <w:rFonts w:ascii="Times New Roman" w:cs="Times New Roman" w:eastAsia="Times New Roman" w:hAnsi="Times New Roman"/>
          <w:sz w:val="18"/>
          <w:szCs w:val="18"/>
          <w:color w:val="282828"/>
        </w:rPr>
        <w:t>sell</w:t>
      </w:r>
      <w:r>
        <w:rPr>
          <w:rFonts w:ascii="Times New Roman" w:cs="Times New Roman" w:eastAsia="Times New Roman" w:hAnsi="Times New Roman"/>
          <w:sz w:val="18"/>
          <w:szCs w:val="18"/>
          <w:color w:val="auto"/>
        </w:rPr>
        <w:t xml:space="preserve"> the Holder’s Registrable Securities on the basis provided in any underwriting arrangements approved </w:t>
      </w:r>
      <w:r>
        <w:rPr>
          <w:rFonts w:ascii="Times New Roman" w:cs="Times New Roman" w:eastAsia="Times New Roman" w:hAnsi="Times New Roman"/>
          <w:sz w:val="18"/>
          <w:szCs w:val="18"/>
          <w:color w:val="131313"/>
        </w:rPr>
        <w:t>by the Corporation and (y) completes and executes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31313"/>
        </w:rPr>
        <w:t>questionnaires</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31313"/>
        </w:rPr>
        <w:t xml:space="preserve"> powers of attorney, indemnities, underwriting agreements and other documents and delivers all opinions, each in customary form, reasonably required under the terms of such underwriting arrangements; </w:t>
      </w:r>
      <w:r>
        <w:rPr>
          <w:rFonts w:ascii="Times New Roman" w:cs="Times New Roman" w:eastAsia="Times New Roman" w:hAnsi="Times New Roman"/>
          <w:sz w:val="18"/>
          <w:szCs w:val="18"/>
          <w:u w:val="single" w:color="auto"/>
          <w:color w:val="131313"/>
        </w:rPr>
        <w:t>provided</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u w:val="single" w:color="auto"/>
          <w:color w:val="131313"/>
        </w:rPr>
        <w:t>however</w:t>
      </w:r>
      <w:r>
        <w:rPr>
          <w:rFonts w:ascii="Times New Roman" w:cs="Times New Roman" w:eastAsia="Times New Roman" w:hAnsi="Times New Roman"/>
          <w:sz w:val="18"/>
          <w:szCs w:val="18"/>
          <w:color w:val="131313"/>
        </w:rPr>
        <w:t>, that the Holder shall not be required to make any representations or warranties in connection with any such registration other than representations and warranties as to (a) the Holder’s ownership of its Registrable Securities to be sold or transferred free and clear of all encumbrances, (b) the Holder’s power and authority to effect such transfer</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31313"/>
        </w:rPr>
        <w:t xml:space="preserve"> and (c) such matters pertaining to compliance with securities laws as may be reasonably requested; </w:t>
      </w:r>
      <w:r>
        <w:rPr>
          <w:rFonts w:ascii="Times New Roman" w:cs="Times New Roman" w:eastAsia="Times New Roman" w:hAnsi="Times New Roman"/>
          <w:sz w:val="18"/>
          <w:szCs w:val="18"/>
          <w:u w:val="single" w:color="auto"/>
          <w:color w:val="131313"/>
        </w:rPr>
        <w:t>provided</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u w:val="single" w:color="auto"/>
          <w:color w:val="131313"/>
        </w:rPr>
        <w:t>further</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u w:val="single" w:color="auto"/>
          <w:color w:val="131313"/>
        </w:rPr>
        <w:t>however</w:t>
      </w:r>
      <w:r>
        <w:rPr>
          <w:rFonts w:ascii="Times New Roman" w:cs="Times New Roman" w:eastAsia="Times New Roman" w:hAnsi="Times New Roman"/>
          <w:sz w:val="18"/>
          <w:szCs w:val="18"/>
          <w:color w:val="131313"/>
        </w:rPr>
        <w:t>, that the obligation of the Holder to indemnify pursuant to any such underwriting arrangements shall be several, not joint and several</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31313"/>
        </w:rPr>
        <w:t xml:space="preserve"> among any of the other parties to such underwriting arrangements, and the liability of the Holder will be in proportion thereto, and </w:t>
      </w:r>
      <w:r>
        <w:rPr>
          <w:rFonts w:ascii="Times New Roman" w:cs="Times New Roman" w:eastAsia="Times New Roman" w:hAnsi="Times New Roman"/>
          <w:sz w:val="18"/>
          <w:szCs w:val="18"/>
          <w:u w:val="single" w:color="auto"/>
          <w:color w:val="131313"/>
        </w:rPr>
        <w:t>provided</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u w:val="single" w:color="auto"/>
          <w:color w:val="131313"/>
        </w:rPr>
        <w:t>further</w:t>
      </w:r>
      <w:r>
        <w:rPr>
          <w:rFonts w:ascii="Times New Roman" w:cs="Times New Roman" w:eastAsia="Times New Roman" w:hAnsi="Times New Roman"/>
          <w:sz w:val="18"/>
          <w:szCs w:val="18"/>
          <w:color w:val="131313"/>
        </w:rPr>
        <w:t xml:space="preserve">, that under the terms of any such agreement such liability will be limited to the net amount received by the Holder from the sale of its Registrable Securities pursuant to such registration; and </w:t>
      </w:r>
      <w:r>
        <w:rPr>
          <w:rFonts w:ascii="Times New Roman" w:cs="Times New Roman" w:eastAsia="Times New Roman" w:hAnsi="Times New Roman"/>
          <w:sz w:val="18"/>
          <w:szCs w:val="18"/>
          <w:u w:val="single" w:color="auto"/>
          <w:color w:val="131313"/>
        </w:rPr>
        <w:t>provided</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u w:val="single" w:color="auto"/>
          <w:color w:val="131313"/>
        </w:rPr>
        <w:t>further</w:t>
      </w:r>
      <w:r>
        <w:rPr>
          <w:rFonts w:ascii="Times New Roman" w:cs="Times New Roman" w:eastAsia="Times New Roman" w:hAnsi="Times New Roman"/>
          <w:sz w:val="18"/>
          <w:szCs w:val="18"/>
          <w:color w:val="131313"/>
        </w:rPr>
        <w:t>, that any such indemnification provided by the Holder shall be limited under the terms of any such agreement to indemnification for information provided by the Holder relating to it specifically for inclusion in the registration statement.</w:t>
      </w:r>
    </w:p>
    <w:p>
      <w:pPr>
        <w:spacing w:after="0" w:line="1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2.2.3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Selection of Underwriters</w:t>
      </w:r>
      <w:r>
        <w:rPr>
          <w:rFonts w:ascii="Times New Roman" w:cs="Times New Roman" w:eastAsia="Times New Roman" w:hAnsi="Times New Roman"/>
          <w:sz w:val="18"/>
          <w:szCs w:val="18"/>
          <w:color w:val="auto"/>
        </w:rPr>
        <w:t>. In respect of any Piggyback Registration, the Corporation may select the investment banking firm or firms that will manage the offering and that will participate in any underwriting syndicate.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Shelf Registration</w:t>
      </w:r>
      <w:r>
        <w:rPr>
          <w:rFonts w:ascii="Times New Roman" w:cs="Times New Roman" w:eastAsia="Times New Roman" w:hAnsi="Times New Roman"/>
          <w:sz w:val="18"/>
          <w:szCs w:val="18"/>
          <w:color w:val="auto"/>
        </w:rPr>
        <w:t>. From and after the Registration Date, the Corporation shall use commercially reasonable efforts to become and remain eligible to use a “shelf” registration statement on Form N-2 pursuant to Rule 415 under the Securities Act (or any successor form, “</w:t>
      </w:r>
      <w:r>
        <w:rPr>
          <w:rFonts w:ascii="Times New Roman" w:cs="Times New Roman" w:eastAsia="Times New Roman" w:hAnsi="Times New Roman"/>
          <w:sz w:val="18"/>
          <w:szCs w:val="18"/>
          <w:b w:val="1"/>
          <w:bCs w:val="1"/>
          <w:color w:val="auto"/>
        </w:rPr>
        <w:t>Form N-2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Shelf</w:t>
      </w:r>
      <w:r>
        <w:rPr>
          <w:rFonts w:ascii="Times New Roman" w:cs="Times New Roman" w:eastAsia="Times New Roman" w:hAnsi="Times New Roman"/>
          <w:sz w:val="18"/>
          <w:szCs w:val="18"/>
          <w:color w:val="auto"/>
        </w:rPr>
        <w:t>”) pertaining to the resale of any shares of Common Stock issued upon conversion of the Preferred Stock and all other shares of the Corporation’s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held by the Holder and its affiliates as of the Closing, and to keep such registration statement continuously effective until the date on which the Holder has sold all Registrable Securities covered thereby. Once the Corporation becomes eligible to use a Form N-2 Shelf (or any successor form), then the Holder may require the Corporation to cause Demand Registrations to be filed on a Form N-2 Shelf (a “</w:t>
      </w:r>
      <w:r>
        <w:rPr>
          <w:rFonts w:ascii="Times New Roman" w:cs="Times New Roman" w:eastAsia="Times New Roman" w:hAnsi="Times New Roman"/>
          <w:sz w:val="18"/>
          <w:szCs w:val="18"/>
          <w:b w:val="1"/>
          <w:bCs w:val="1"/>
          <w:color w:val="auto"/>
        </w:rPr>
        <w:t>Shelf Registration</w:t>
      </w:r>
      <w:r>
        <w:rPr>
          <w:rFonts w:ascii="Times New Roman" w:cs="Times New Roman" w:eastAsia="Times New Roman" w:hAnsi="Times New Roman"/>
          <w:sz w:val="18"/>
          <w:szCs w:val="18"/>
          <w:color w:val="auto"/>
        </w:rPr>
        <w:t>”). If the Corporation is not then eligible under the Securities Act to use a Form N-2 Shelf</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auto"/>
        </w:rPr>
        <w:t xml:space="preserve"> Demand Registrations shall be filed on the form for which the Corporation then qualifies. The Holder shall use reasonable efforts to deliver to the Corporation written notice (a “</w:t>
      </w:r>
      <w:r>
        <w:rPr>
          <w:rFonts w:ascii="Times New Roman" w:cs="Times New Roman" w:eastAsia="Times New Roman" w:hAnsi="Times New Roman"/>
          <w:sz w:val="18"/>
          <w:szCs w:val="18"/>
          <w:b w:val="1"/>
          <w:bCs w:val="1"/>
          <w:color w:val="auto"/>
        </w:rPr>
        <w:t>Shelf Notice</w:t>
      </w:r>
      <w:r>
        <w:rPr>
          <w:rFonts w:ascii="Times New Roman" w:cs="Times New Roman" w:eastAsia="Times New Roman" w:hAnsi="Times New Roman"/>
          <w:sz w:val="18"/>
          <w:szCs w:val="18"/>
          <w:color w:val="auto"/>
        </w:rPr>
        <w:t>”) that it intends to effect a sale pursuant to a Shelf Registration stating the number of shares it proposes to sell, the intended sale date and, if applicable</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auto"/>
        </w:rPr>
        <w:t xml:space="preserve"> the names of any proposed underwriters, not less than 10 days prior to the proposed date of sale.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Registration Procedures</w:t>
      </w:r>
      <w:r>
        <w:rPr>
          <w:rFonts w:ascii="Times New Roman" w:cs="Times New Roman" w:eastAsia="Times New Roman" w:hAnsi="Times New Roman"/>
          <w:sz w:val="18"/>
          <w:szCs w:val="18"/>
          <w:color w:val="auto"/>
        </w:rPr>
        <w:t>. Whenever the Holder has requested that any Registrable Securities be registered pursuant to this Agreement, the Corporation will use commercially reasonable efforts to complete the registration and the sale of such Registrable Securities in accordance with the intended method of disposition thereof within the time periods set forth in this Agreement, and pursuant thereto the Corporation will as promptly as reasonably practicable:</w:t>
      </w:r>
    </w:p>
    <w:p>
      <w:pPr>
        <w:spacing w:after="0" w:line="180"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            prepare and file with the SEC with respect to any Demand Registration, a registration statement on any appropriate form under the Securities Act with respect to such Registrable Securities and use commercially reasonable efforts to cause such registration statement to become effective, provided that as far in advance as practicable before filing such registration </w:t>
      </w:r>
      <w:r>
        <w:rPr>
          <w:rFonts w:ascii="Times New Roman" w:cs="Times New Roman" w:eastAsia="Times New Roman" w:hAnsi="Times New Roman"/>
          <w:sz w:val="18"/>
          <w:szCs w:val="18"/>
          <w:color w:val="2D2D2D"/>
        </w:rPr>
        <w:t>statement</w:t>
      </w:r>
      <w:r>
        <w:rPr>
          <w:rFonts w:ascii="Times New Roman" w:cs="Times New Roman" w:eastAsia="Times New Roman" w:hAnsi="Times New Roman"/>
          <w:sz w:val="18"/>
          <w:szCs w:val="18"/>
          <w:color w:val="auto"/>
        </w:rPr>
        <w:t xml:space="preserve"> or any amendment thereto, the Corporation will furnish to the Holder copies of reasonably complete drafts of all such documents prepared to be filed (including exhibits), and the Holder shall have the opportunity to discuss any information contained therein with the Corporation and the Corporation will consider all corrections reasonably requested by the Holder with respect to such information prior to filing any such registration statement or amendment;</w:t>
      </w:r>
    </w:p>
    <w:p>
      <w:pPr>
        <w:spacing w:after="0" w:line="18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           except in the case of a Shelf Registration, prepare and file with the SEC such amendments</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auto"/>
        </w:rPr>
        <w:t xml:space="preserve"> post-effective amendments, and supplements to such registration statement and the prospectus used in connection therewith as may be necessary to keep such registration statement effective for a period of not less than 180 days (or such lesser period as is necessary for the underwriters in an underwritten offering to sell unsold allotments)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18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(iii)          in the case of a Shelf Registration, prepare and file with the SEC such amendments and supplements to such registration statement and the prospectus used in connection therewith as may be necessary to keep such registration statement continuously effective and to comply with the provisions of the Securities Act with respect to the disposition of all Registrable Securities subject thereto for a period ending on the earlier of the date on which all the Registrable Securities subject thereto have been sold pursuant to such registration statement and the date of expiration of such Shelf Registration;</w:t>
      </w:r>
    </w:p>
    <w:p>
      <w:pPr>
        <w:spacing w:after="0" w:line="183"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(iv)          furnish to the Holder and the underwriters of the securities being registered such number of copies of such registration statement, each amendment and supplement thereto, the prospectus included in such registration statement (including each preliminary prospectus), any issuer free writing prospectus, any documents incorporated by reference therein and such other documents as such seller or underwriters may reasonably request in order to facilitate the disposition of the Registrable Securities owned by such seller or the sale of such securities by such underwriters (it being understood that, subject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the requirements of the Securities Act and applicable state securities laws, the Corporation consents to the use of the prospectus, any amendment or supplement thereto and any issuer free writing prospectus by the Holder and the underwriters in connection with the offering and sale of the Registrable Securities covered by the registration statement of which such prospectus, amendment or supplement is a part);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(v)           use commercially reasonable efforts to register or qualify such Registrable Securities under such other securities or “blue sky” laws of such jurisdictions as the managing underwriter reasonably requests (or, in the event the registration statement does not relate to an underwritten offering, as the Holder may reasonably request); use commercially reasonable efforts to keep each such registration or qualification (or exemption therefrom) effective during the period in which such registration statement is required to be kept effective; and do any and all other acts and things which may be reasonably necessary or advisable to enable the Holder to consummate the disposition of the Registrable Securities owned by such seller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will not be required to (A) qualify generally to do business in any jurisdiction where it would not otherwise be required to qualify but for this subparagraph, (B) consent to general service of process in any such jurisdiction), (C) subject itself to taxation in any such jurisdiction or (D) register as a foreign corporation in any such jurisdiction;</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promptly notify the Holder and each underwriter and (if requested by any such Person) confirm such notice in writing</w:t>
      </w:r>
    </w:p>
    <w:p>
      <w:pPr>
        <w:spacing w:after="0" w:line="27" w:lineRule="exact"/>
        <w:rPr>
          <w:sz w:val="20"/>
          <w:szCs w:val="20"/>
          <w:color w:val="auto"/>
        </w:rPr>
      </w:pPr>
    </w:p>
    <w:p>
      <w:pPr>
        <w:jc w:val="both"/>
        <w:ind w:firstLine="8"/>
        <w:spacing w:after="0" w:line="250" w:lineRule="auto"/>
        <w:tabs>
          <w:tab w:leader="none" w:pos="3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such registration statement or any issuer free writing prospectus used in connection therewith, or any related prospectus or any prospectus supplement or post-effective amendment has been filed and, with respect to any such registration statement or any post-effective amendment, when the same has become effective, (B) of the issuance by any state securities or other regulatory authority of any order suspending the qualification or exemption from qualification of any of the Registrable Securities under state securities or “blue sky” laws or the initiation of any proceedings for that purpose, and</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a registration statement pursuant to a Demand Registration (other than a Shelf Registration) is effective or during any period covered by a Shelf Notice of the happening of any event which makes any statement made in any such registration statement or related prospectus or issuer free writing prospectus untrue or which requires the making of any changes in such registration statement, prospectus, issuer free writing prospectus or documents so that they will not contain any untrue statement of a material fact or omit to state any material fact required to be stated therein or necessary to make the statements therein not misleading, and, subject to the Corporation’s right to issue a Suspension Notice, as promptly as practicable thereafter following the expiration of any applicable Suspension Period, prepare and file with the SEC and furnish a supplement or amendment to such prospectus or additional issuer free writing prospectus so that, as thereafter deliverable to the purchasers of such Registrable Securities, such prospectus will not contain any untrue statement of a material fact or omit a material fact necessary to make the statements therein, in the light of the circumstances under which they were made, not misleading;</w:t>
      </w:r>
    </w:p>
    <w:p>
      <w:pPr>
        <w:spacing w:after="0" w:line="193"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(vii)         permit the Holder to participate in the preparation of such registration or comparable statement and to consider the insertion therein of material, furnished to the Corporation in writing, which in the reasonable judgment of the Holder and its counsel should be included;</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(viii)        use commercially reasonable efforts to make reasonably available members of management of the Corporation, as selected by the Holder, for such assistance in the selling effort relating to the Registrable Securities covered by such registration as may be reasonably requested by the Holder, including, but not limited to, the participation of such members of the Corporation’s management in live or recorded road show presentations;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(ix)          otherwise use commercially reasonable efforts to comply with all applicable rules and regulations of the SEC, including the Securities Act and the Exchange Act and the rules and regulations promulgated thereunder, and make generally available to the Corporation’s security holders an earnings statement satisfying the provisions of Section 11(a) of the Securities Act no later than 90 days after the end of the 12 month period beginning with the first day of the Corporation’s first fiscal quarter commencing after the effective date of a registration statement, which earnings statement shall cover said 12 month period, and which requirement will be deemed to be satisfied if the Corporation timely files complete and accurate information on Forms 10-Q, 10-K and 8-K under the Exchange Act and otherwise complies with Rule 158 under the Securities Act;</w:t>
      </w:r>
    </w:p>
    <w:p>
      <w:pPr>
        <w:spacing w:after="0" w:line="18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(x)            if reasonably requested by the managing underwriter or the Holder, promptly incorporate in a prospectus supplement or post-effective amendment or prepare an issuer free writing prospectus including such information as the managing underwriter or any seller reasonably requests to be included therein, including, without limitation, with respect to the Registrable Securities being sold by such seller, the purchase price being paid therefor by the underwriters and with respect to any other terms of the underwritten offering of the Registrable Securities to be sold in such offering, and promptly make all required filings of such prospectus supplement or post-effective amendment or issuer free writing prospectus;</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(xi)           as promptly as practicable after filing with the SEC of any document which is incorporated by reference into a registration statement (in the form in which it was incorporated), deliver a copy of each such document to the Holder unless available on the SEC’s Electronic Data Gathering and Retrieval System (EDGAR) or any successor system;</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(xii)          cooperate with the sellers and the managing underwriter to facilitate the timely preparation and delivery of certificates (which shall not bear any restrictive legends unless required under applicable law) representing securities sold under any registration statement, and enable such securities to be in such denominations and registered in such names as the managing underwriter or such sellers may request and keep available and make available to the Corporation’s transfer agent prior to the effectiveness of such registration statement a supply of such certificates;</w:t>
      </w:r>
    </w:p>
    <w:p>
      <w:pPr>
        <w:spacing w:after="0" w:line="180"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(xiii)         promptly make available for inspection by any seller, any underwriter participating in any disposition pursuant to any registration statement, and any attorney, accountant or other agent or representative retained by any such seller or underwriter (collectively, the “</w:t>
      </w:r>
      <w:r>
        <w:rPr>
          <w:rFonts w:ascii="Times New Roman" w:cs="Times New Roman" w:eastAsia="Times New Roman" w:hAnsi="Times New Roman"/>
          <w:sz w:val="18"/>
          <w:szCs w:val="18"/>
          <w:b w:val="1"/>
          <w:bCs w:val="1"/>
          <w:color w:val="auto"/>
        </w:rPr>
        <w:t>Inspectors</w:t>
      </w:r>
      <w:r>
        <w:rPr>
          <w:rFonts w:ascii="Times New Roman" w:cs="Times New Roman" w:eastAsia="Times New Roman" w:hAnsi="Times New Roman"/>
          <w:sz w:val="18"/>
          <w:szCs w:val="18"/>
          <w:color w:val="auto"/>
        </w:rPr>
        <w:t>”), all financial and other records</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auto"/>
        </w:rPr>
        <w:t xml:space="preserve"> pertinent corporate documents and properties of the Corporation, as shall be reasonably necessary to enable them to exercise their due diligence responsibility, and cause the Corporation’s officers, directors and employees to supply all information requested by any such Inspector in connection with such registration statement;</w:t>
      </w:r>
    </w:p>
    <w:p>
      <w:pPr>
        <w:spacing w:after="0" w:line="183"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(xiv)         furnish to the Holder and underwriter a signed counterpart of (A) an opinion or opinions of counsel to the Corporation, and (B) a comfort letter or comfort letters from the Corporation’s independent registered public accountants, each in customary form and covering such matters of the type customarily covered by opinions or comfort letters, as the case may be</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auto"/>
        </w:rPr>
        <w:t xml:space="preserve"> as the sellers or managing underwriter reasonably requests (each such opinion and comfort letter to be addressed to both the seller and underwriter, if reasonably possible);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(xv)         use commercially reasonable efforts to cause the Registrable Securities included in any registration statement to be listed on each securities exchange, if any, on which similar securities issued by the Corporation are then listed;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        provide a transfer agent and registrar for all Registrable Securities registered hereunder;</w:t>
      </w:r>
    </w:p>
    <w:p>
      <w:pPr>
        <w:spacing w:after="0" w:line="225"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(xvii)       cooperate with the Holder and each underwriter participating in the disposition of such Registrable Securities and their respective counsel in connection with any filings required to be made with the Financial Industry Regulatory Authority;</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(xviii)      during the period when the prospectus is required to be delivered under the Securities Act, promptly file all documents required to be filed with the SEC pursuant to Sections 13(a), 13(c), 14 or 15(d) of the Exchange Act;</w:t>
      </w:r>
    </w:p>
    <w:p>
      <w:pPr>
        <w:spacing w:after="0" w:line="162"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(xix)         notify the Holder promptly of any request by the SEC for the amending or supplementing of such registration statement or prospectus or for additional information;</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(xx)          enter into such agreements (including underwriting agreements in the managing underwriter’s customary form) as are customary in connection with an underwritten registration;</w:t>
      </w:r>
    </w:p>
    <w:p>
      <w:pPr>
        <w:spacing w:after="0" w:line="162" w:lineRule="exact"/>
        <w:rPr>
          <w:sz w:val="20"/>
          <w:szCs w:val="20"/>
          <w:color w:val="auto"/>
        </w:rPr>
      </w:pPr>
    </w:p>
    <w:p>
      <w:pPr>
        <w:jc w:val="both"/>
        <w:ind w:right="20" w:firstLine="1944"/>
        <w:spacing w:after="0" w:line="261" w:lineRule="auto"/>
        <w:rPr>
          <w:sz w:val="20"/>
          <w:szCs w:val="20"/>
          <w:color w:val="auto"/>
        </w:rPr>
      </w:pPr>
      <w:r>
        <w:rPr>
          <w:rFonts w:ascii="Times New Roman" w:cs="Times New Roman" w:eastAsia="Times New Roman" w:hAnsi="Times New Roman"/>
          <w:sz w:val="18"/>
          <w:szCs w:val="18"/>
          <w:color w:val="auto"/>
        </w:rPr>
        <w:t>(xxi)         advise the Holder, promptly after it shall receive notice or obtain knowledge thereof</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auto"/>
        </w:rPr>
        <w:t xml:space="preserve"> of the issuance of any stop order by the SEC suspending the effectiveness of such registration statement or the initiation or threatening of any proceeding for such purpose and promptly use commercially reasonable efforts to prevent the issuance of any stop order or to obtain its withdrawal at the earliest possible moment if such stop order should be issued; and</w:t>
      </w:r>
    </w:p>
    <w:p>
      <w:pPr>
        <w:spacing w:after="0" w:line="180"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(xxii)        use commercially reasonable efforts to take all other steps necessary to effect the registration of the Registrable Securities covered by the registration statement.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Suspension of Dispositions</w:t>
      </w:r>
      <w:r>
        <w:rPr>
          <w:rFonts w:ascii="Times New Roman" w:cs="Times New Roman" w:eastAsia="Times New Roman" w:hAnsi="Times New Roman"/>
          <w:sz w:val="18"/>
          <w:szCs w:val="18"/>
          <w:color w:val="auto"/>
        </w:rPr>
        <w:t xml:space="preserve">. The Holder agrees by acquisition of any Registrable Securities that, upon receipt of any notice (a </w:t>
      </w:r>
      <w:r>
        <w:rPr>
          <w:rFonts w:ascii="Times New Roman" w:cs="Times New Roman" w:eastAsia="Times New Roman" w:hAnsi="Times New Roman"/>
          <w:sz w:val="18"/>
          <w:szCs w:val="18"/>
          <w:color w:val="343434"/>
        </w:rPr>
        <w:t>“</w:t>
      </w:r>
      <w:r>
        <w:rPr>
          <w:rFonts w:ascii="Times New Roman" w:cs="Times New Roman" w:eastAsia="Times New Roman" w:hAnsi="Times New Roman"/>
          <w:sz w:val="18"/>
          <w:szCs w:val="18"/>
          <w:b w:val="1"/>
          <w:bCs w:val="1"/>
          <w:color w:val="343434"/>
        </w:rPr>
        <w:t>Suspension</w:t>
      </w:r>
      <w:r>
        <w:rPr>
          <w:rFonts w:ascii="Times New Roman" w:cs="Times New Roman" w:eastAsia="Times New Roman" w:hAnsi="Times New Roman"/>
          <w:sz w:val="18"/>
          <w:szCs w:val="18"/>
          <w:color w:val="343434"/>
        </w:rPr>
        <w:t xml:space="preserve"> </w:t>
      </w:r>
      <w:r>
        <w:rPr>
          <w:rFonts w:ascii="Times New Roman" w:cs="Times New Roman" w:eastAsia="Times New Roman" w:hAnsi="Times New Roman"/>
          <w:sz w:val="18"/>
          <w:szCs w:val="18"/>
          <w:b w:val="1"/>
          <w:bCs w:val="1"/>
          <w:color w:val="000000"/>
        </w:rPr>
        <w:t>Notice</w:t>
      </w:r>
      <w:r>
        <w:rPr>
          <w:rFonts w:ascii="Times New Roman" w:cs="Times New Roman" w:eastAsia="Times New Roman" w:hAnsi="Times New Roman"/>
          <w:sz w:val="18"/>
          <w:szCs w:val="18"/>
          <w:color w:val="000000"/>
        </w:rPr>
        <w:t>”) from the Corporation of the happening of any event of the kind described in</w:t>
      </w:r>
      <w:r>
        <w:rPr>
          <w:rFonts w:ascii="Times New Roman" w:cs="Times New Roman" w:eastAsia="Times New Roman" w:hAnsi="Times New Roman"/>
          <w:sz w:val="18"/>
          <w:szCs w:val="18"/>
          <w:color w:val="343434"/>
        </w:rPr>
        <w:t xml:space="preserve"> </w:t>
      </w:r>
      <w:r>
        <w:rPr>
          <w:rFonts w:ascii="Times New Roman" w:cs="Times New Roman" w:eastAsia="Times New Roman" w:hAnsi="Times New Roman"/>
          <w:sz w:val="18"/>
          <w:szCs w:val="18"/>
          <w:u w:val="single" w:color="auto"/>
          <w:color w:val="000000"/>
        </w:rPr>
        <w:t>Section 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vi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00"/>
        </w:rPr>
        <w:t>C</w:t>
      </w:r>
      <w:r>
        <w:rPr>
          <w:rFonts w:ascii="Times New Roman" w:cs="Times New Roman" w:eastAsia="Times New Roman" w:hAnsi="Times New Roman"/>
          <w:sz w:val="18"/>
          <w:szCs w:val="18"/>
          <w:color w:val="000000"/>
        </w:rPr>
        <w:t>), the Holder will forthwith</w:t>
      </w:r>
      <w:r>
        <w:rPr>
          <w:rFonts w:ascii="Times New Roman" w:cs="Times New Roman" w:eastAsia="Times New Roman" w:hAnsi="Times New Roman"/>
          <w:sz w:val="18"/>
          <w:szCs w:val="18"/>
          <w:color w:val="343434"/>
        </w:rPr>
        <w:t xml:space="preserve"> </w:t>
      </w:r>
      <w:r>
        <w:rPr>
          <w:rFonts w:ascii="Times New Roman" w:cs="Times New Roman" w:eastAsia="Times New Roman" w:hAnsi="Times New Roman"/>
          <w:sz w:val="18"/>
          <w:szCs w:val="18"/>
          <w:color w:val="000000"/>
        </w:rPr>
        <w:t>discontinue disposition of Registrable Securities until the Holder’s receipt of the copies of the supplemented or amended prospectus, or until it is advised in writing (the “</w:t>
      </w:r>
      <w:r>
        <w:rPr>
          <w:rFonts w:ascii="Times New Roman" w:cs="Times New Roman" w:eastAsia="Times New Roman" w:hAnsi="Times New Roman"/>
          <w:sz w:val="18"/>
          <w:szCs w:val="18"/>
          <w:b w:val="1"/>
          <w:bCs w:val="1"/>
          <w:color w:val="000000"/>
        </w:rPr>
        <w:t>Advice</w:t>
      </w:r>
      <w:r>
        <w:rPr>
          <w:rFonts w:ascii="Times New Roman" w:cs="Times New Roman" w:eastAsia="Times New Roman" w:hAnsi="Times New Roman"/>
          <w:sz w:val="18"/>
          <w:szCs w:val="18"/>
          <w:color w:val="000000"/>
        </w:rPr>
        <w:t>”) by the Corporation that the use of the prospectus may be resumed, and has received copies of any additional or supplemental filings which are incorporated by reference in the prospectus, and</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000000"/>
        </w:rPr>
        <w:t xml:space="preserve"> if so directed by the Corporation, the Holder will deliver to the Corporation all copies, other than permanent file copies then in the Holder’s possession, of the prospectus covering such Registrable Securities current at the time of receipt of such notice (any such period during which disposition of Registrable Securities is suspended, a “</w:t>
      </w:r>
      <w:r>
        <w:rPr>
          <w:rFonts w:ascii="Times New Roman" w:cs="Times New Roman" w:eastAsia="Times New Roman" w:hAnsi="Times New Roman"/>
          <w:sz w:val="18"/>
          <w:szCs w:val="18"/>
          <w:b w:val="1"/>
          <w:bCs w:val="1"/>
          <w:color w:val="000000"/>
        </w:rPr>
        <w:t>Suspension Period</w:t>
      </w:r>
      <w:r>
        <w:rPr>
          <w:rFonts w:ascii="Times New Roman" w:cs="Times New Roman" w:eastAsia="Times New Roman" w:hAnsi="Times New Roman"/>
          <w:sz w:val="18"/>
          <w:szCs w:val="18"/>
          <w:color w:val="000000"/>
        </w:rPr>
        <w:t xml:space="preserve">”). In the event the Corporation shall give any such notice, the time period referred to in </w:t>
      </w:r>
      <w:r>
        <w:rPr>
          <w:rFonts w:ascii="Times New Roman" w:cs="Times New Roman" w:eastAsia="Times New Roman" w:hAnsi="Times New Roman"/>
          <w:sz w:val="18"/>
          <w:szCs w:val="18"/>
          <w:u w:val="single" w:color="auto"/>
          <w:color w:val="000000"/>
        </w:rPr>
        <w:t>Section 2.4(ii</w:t>
      </w:r>
      <w:r>
        <w:rPr>
          <w:rFonts w:ascii="Times New Roman" w:cs="Times New Roman" w:eastAsia="Times New Roman" w:hAnsi="Times New Roman"/>
          <w:sz w:val="18"/>
          <w:szCs w:val="18"/>
          <w:color w:val="000000"/>
        </w:rPr>
        <w:t>) shall be extended by the number of days during the period from and including the date of the giving of the Suspension Notice to and including the date when the Holder covered by such registration statement shall have received the copies of the supplemented or amended prospectus or the Advice. The Corporation shall use commercially reasonable efforts and take such actions as are reasonably necessary to render the Advice as promptly as practicable.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Registration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2.6.1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Demand Registrations</w:t>
      </w:r>
      <w:r>
        <w:rPr>
          <w:rFonts w:ascii="Times New Roman" w:cs="Times New Roman" w:eastAsia="Times New Roman" w:hAnsi="Times New Roman"/>
          <w:sz w:val="18"/>
          <w:szCs w:val="18"/>
          <w:color w:val="auto"/>
        </w:rPr>
        <w:t>. All reasonable</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auto"/>
        </w:rPr>
        <w:t xml:space="preserve"> out-of-pocket fees and expenses incident to any Demand Registration including, without limitation, the Corporation’s performance of or compliance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all registration and filing fees, all fees and expenses associated with filings required to be made with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xml:space="preserve">”), as may be required by the rules and regulations of the FINRA, fees and expenses of compliance with securities or “blue sky” laws (including reasonable fees and disbursements of counsel in connection with “blue sky” qualifications of the Registrable Securities), rating agency fees, printing expenses (including expenses of printing certificates for the Registrable Securities in a form eligible for deposit with the Depository Trust Corporation and of printing prospectuses if the printing of prospectuses is requested by the Holder), messenger and delivery expenses, the fees and expenses incurred in connection with any listing or quotation of the Registrable Securities, fees and expenses of counsel for the Corporation and its independent certified public accountants (including </w:t>
      </w:r>
      <w:r>
        <w:rPr>
          <w:rFonts w:ascii="Times New Roman" w:cs="Times New Roman" w:eastAsia="Times New Roman" w:hAnsi="Times New Roman"/>
          <w:sz w:val="18"/>
          <w:szCs w:val="18"/>
          <w:color w:val="131313"/>
        </w:rPr>
        <w:t>the expenses of any special audit or “cold comfort”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31313"/>
        </w:rPr>
        <w:t>letters required by or incident to such performance), the fees and expenses of any special experts retained by the Corporation in connection with such registration, and any underwriting discounts, commissions or fees attributable to the sale of the Registrable Securities will be borne by the Holder (except as otherwise agreed among the parties hereto and the members of FS/KKR Advisor, LLC).</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2.6.2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Piggyback Registrations</w:t>
      </w:r>
      <w:r>
        <w:rPr>
          <w:rFonts w:ascii="Times New Roman" w:cs="Times New Roman" w:eastAsia="Times New Roman" w:hAnsi="Times New Roman"/>
          <w:sz w:val="18"/>
          <w:szCs w:val="18"/>
          <w:color w:val="auto"/>
        </w:rPr>
        <w:t xml:space="preserve">. All fees and expenses incident to any Piggyback Registration including, without limitation, the Corporation’s performance of or compliance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all registration and filing fees, all fees and expenses associated with filings required to be made with the FINRA, as may be required by the rules and regulations of the FINRA, fees and expenses of compliance with securities or “blue sky” laws (including reasonable fees and disbursements of counsel in connection with “blue sky” qualifications of the Registrable Securities), rating agency fees, printing expenses (including expenses of printing certificates for the Registrable Securities in a form eligible for deposit with the Depository Trust Corporation and of printing prospectuses), messenger and delivery expenses, the fees and expenses incurred in connection with any listing or quotation of the Registrable Securities, fees and expenses of counsel for the Corporation and its independent certified public accountants (including the expenses of any special audit or “cold comfort” letters required by or incident to such performance), the fees and expenses of any special experts retained by the Corporation in connection with such registration, and any underwriting discounts, commissions or fees attributable to the sale of the Registrable Securities will be borne by the selling stockholders in the Piggyback Registration (and the Corporation, if it is selling any shares in in such Piggyback Registration) pro rata on the basis of the number of shares sought to be sold by each such selling stockholder (and the Corporation, if applicable) in the Piggyback Registration (except as otherwise agreed among the parties hereto and the members of FS/KKR Advisor, LLC).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Section 2.7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2.7.1 </w:t>
      </w:r>
      <w:r>
        <w:rPr>
          <w:rFonts w:ascii="Times New Roman" w:cs="Times New Roman" w:eastAsia="Times New Roman" w:hAnsi="Times New Roman"/>
          <w:sz w:val="18"/>
          <w:szCs w:val="18"/>
          <w:color w:val="auto"/>
        </w:rPr>
        <w:t xml:space="preserve">         The Corporation will indemnify and hold harmless the Holder and, in the case of an underwritten offering, each underwriter, their respective partners, members, directors, officers, affiliates and each person, if any, who controls such seller or underwriter, as applicable, within the meaning of Section 15 of the Securities Act or Section 20 of the Exchange Act against any losses, claims, damages or liabilities, joint or several, to which such seller may become subject, under the Securities Act or otherwise, insofar as such losses, claims, damages or liabilities (or actions in respect thereof) arise out of or are based upon any untrue statement or alleged untrue statement of any material fact contained in any registration statement, prospectus, preliminary prospectus or any issuer free writing prospectus, or arise out of or are based upon the omission or alleged omission to state therein a material fact required to be stated therein or necessary to make the statements therein, in the light of the circumstances under which they were made, not misleading, and will reimburse such seller for any legal or other expenses reasonably incurred by such seller in connection with investigating or defending any loss, claim, damage, liability, action, litigation, investigation or proceeding whatsoever (whether or not such seller is a party thereto), whether threatened or commenced, and in connection with the enforcement of this provision with respect to any of the above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Corporation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Corporation by the Holder relating to it specifically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liability of the Holder will be in proportion to, and will be limited to, the net amount received by the Holder from the sale of Registrable Securities pursuant to such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 shall not be liable in any such case to the extent that prior to the filing of any such registration statement or prospectus or amendment thereof or supplement thereto, the Holder has furnished in writing to the Corporation information expressly for use in such registration statement or prospectus or any amendment thereof or supplement thereto which corrected or made not misleading information previously furnished to the Corporation. Any indemnification by the Corporation pursuant to this Agreement shall be subject to the requirements and limitations of Section 17(i) of the Investment Company Act.</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2.7.2 </w:t>
      </w:r>
      <w:r>
        <w:rPr>
          <w:rFonts w:ascii="Times New Roman" w:cs="Times New Roman" w:eastAsia="Times New Roman" w:hAnsi="Times New Roman"/>
          <w:sz w:val="18"/>
          <w:szCs w:val="18"/>
          <w:color w:val="auto"/>
        </w:rPr>
        <w:t xml:space="preserve">        The Holder will indemnify and hold harmless the Corporation, each of its directors and each of its officers who signs a registration statement and each person, if any, who controls the Corporation within the meaning of Section 15 of the Securities Act or Section 20 of the Exchange Act against any losses, claims, damages or liabilities to which such indemnified party may become subject, under the Securities Act, the Exchange Act, or other federal or state statutory law or regulation or otherwise, insofar as such losses, claims, damages or liabilities (or actions in respect thereof) arise out of or are based upon any untrue statement or alleged untrue statement of any material fact contained in any registration statement, prospectus, preliminary </w:t>
      </w:r>
      <w:r>
        <w:rPr>
          <w:rFonts w:ascii="Times New Roman" w:cs="Times New Roman" w:eastAsia="Times New Roman" w:hAnsi="Times New Roman"/>
          <w:sz w:val="18"/>
          <w:szCs w:val="18"/>
          <w:color w:val="111111"/>
        </w:rPr>
        <w:t>prospectus or any issuer free writing prospectus or arise out of or are based upon the omission or the alleged omission of a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Corporation by the Holder relating to it specifically for use therein, and will reimburse any legal or other expenses reasonably incurred by such indemnified party in connection with investigating or defending against any such loss, claim, damage, liability, action, litigation, investigation or proceeding whatsoever (whether or not such indemnified party is a party thereto), whether threatened or commenced, based upon any such untrue statement or omission, or any such alleged untrue statement or omission as such expenses are incurred.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2.7.3 </w:t>
      </w:r>
      <w:r>
        <w:rPr>
          <w:rFonts w:ascii="Times New Roman" w:cs="Times New Roman" w:eastAsia="Times New Roman" w:hAnsi="Times New Roman"/>
          <w:sz w:val="18"/>
          <w:szCs w:val="18"/>
          <w:color w:val="auto"/>
        </w:rPr>
        <w:t xml:space="preserve">        Promptly after receipt by an indemnified party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of notice of the commencement of any action, such indemnified party will, if a claim in respect thereof is to be made against an indemnifying party under </w:t>
      </w:r>
      <w:r>
        <w:rPr>
          <w:rFonts w:ascii="Times New Roman" w:cs="Times New Roman" w:eastAsia="Times New Roman" w:hAnsi="Times New Roman"/>
          <w:sz w:val="18"/>
          <w:szCs w:val="18"/>
          <w:u w:val="single" w:color="auto"/>
          <w:color w:val="auto"/>
        </w:rPr>
        <w:t>Section 2.7.1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 xml:space="preserve">, notify the indemnifying party of the commencement thereof; but the failure to notify the indemnifying party shall not relieve it from any liability that it may have under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u w:val="single" w:color="auto"/>
          <w:color w:val="343434"/>
        </w:rPr>
        <w:t>.1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 xml:space="preserve">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failure to notify the indemnifying party shall not relieve it from any liability that it may have to an indemnified party otherwise than under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u w:val="single" w:color="auto"/>
          <w:color w:val="343434"/>
        </w:rPr>
        <w:t>.1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 xml:space="preserve">.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9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2.7.4 </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is unavailable or insufficient to hold harmless an indemnified party under </w:t>
      </w:r>
      <w:r>
        <w:rPr>
          <w:rFonts w:ascii="Times New Roman" w:cs="Times New Roman" w:eastAsia="Times New Roman" w:hAnsi="Times New Roman"/>
          <w:sz w:val="18"/>
          <w:szCs w:val="18"/>
          <w:u w:val="single" w:color="auto"/>
          <w:color w:val="auto"/>
        </w:rPr>
        <w:t>Section 2.7.1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 xml:space="preserve"> although applicable in accordance with its terms, then each indemnifying party shall contribute to the amount paid or payable by such indemnified party as a result of the losses, claims, damages or liabilities referred to in </w:t>
      </w:r>
      <w:r>
        <w:rPr>
          <w:rFonts w:ascii="Times New Roman" w:cs="Times New Roman" w:eastAsia="Times New Roman" w:hAnsi="Times New Roman"/>
          <w:sz w:val="18"/>
          <w:szCs w:val="18"/>
          <w:u w:val="single" w:color="auto"/>
          <w:color w:val="auto"/>
        </w:rPr>
        <w:t>Section 2.7.1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 xml:space="preserve"> (i) in such proportion as is appropriate to reflect the relative fault of the indemnifying party on the one hand and the indemnified party on the other in connection with the statements or omissions which resulted in such losses, claims, damages or liabilities or (ii) if the allocation provided by clause (i) above is not permitted by applicable law, in such proportion as is appropriate to reflect not only the relative faults referred to in clause (i) above but also the relative benefits received by the indemnifying party on the one hand and the indemnified party on the other as well as any other relevant equitable considerations. In connection with any registration statement filed with the SEC by the Corporation, the relative fault shall be determined by reference to, among other things, whether the untrue or alleged untrue statement of a material fact or the omission or alleged omission to state a material fact relates to information supplied by such indemnifying party or indemnified party and the parties’ relative intent, knowledge, access to information and opportunity to correct or prevent such untrue statement or omission. The relative benefits received by the indemnifying party on the one hand and the indemnified party on the other shall be deemed to be in the same proportion as the total net proceeds from the offering of securities registered thereunder (before deducting expenses) received by the indemnifying party bear to the aggregate public offering price of the securities registered thereunder. The amount paid by an indemnified party as a result of the losses, claims, damages or liabilities referred to in the first sentence of this </w:t>
      </w:r>
      <w:r>
        <w:rPr>
          <w:rFonts w:ascii="Times New Roman" w:cs="Times New Roman" w:eastAsia="Times New Roman" w:hAnsi="Times New Roman"/>
          <w:sz w:val="18"/>
          <w:szCs w:val="18"/>
          <w:u w:val="single" w:color="auto"/>
          <w:color w:val="auto"/>
        </w:rPr>
        <w:t>Section 2.7.4</w:t>
      </w:r>
      <w:r>
        <w:rPr>
          <w:rFonts w:ascii="Times New Roman" w:cs="Times New Roman" w:eastAsia="Times New Roman" w:hAnsi="Times New Roman"/>
          <w:sz w:val="18"/>
          <w:szCs w:val="18"/>
          <w:color w:val="auto"/>
        </w:rPr>
        <w:t xml:space="preserve"> shall be deemed to include any legal or other expenses reasonably incurred by such indemnified party in connection with investigating or defending any action or claim which is the subject of this </w:t>
      </w:r>
      <w:r>
        <w:rPr>
          <w:rFonts w:ascii="Times New Roman" w:cs="Times New Roman" w:eastAsia="Times New Roman" w:hAnsi="Times New Roman"/>
          <w:sz w:val="18"/>
          <w:szCs w:val="18"/>
          <w:u w:val="single" w:color="auto"/>
          <w:color w:val="auto"/>
        </w:rPr>
        <w:t>Section 2.7.4</w:t>
      </w:r>
      <w:r>
        <w:rPr>
          <w:rFonts w:ascii="Times New Roman" w:cs="Times New Roman" w:eastAsia="Times New Roman" w:hAnsi="Times New Roman"/>
          <w:sz w:val="18"/>
          <w:szCs w:val="18"/>
          <w:color w:val="auto"/>
        </w:rPr>
        <w:t xml:space="preserve">. Notwithstanding the provisions of this </w:t>
      </w:r>
      <w:r>
        <w:rPr>
          <w:rFonts w:ascii="Times New Roman" w:cs="Times New Roman" w:eastAsia="Times New Roman" w:hAnsi="Times New Roman"/>
          <w:sz w:val="18"/>
          <w:szCs w:val="18"/>
          <w:u w:val="single" w:color="auto"/>
          <w:color w:val="auto"/>
        </w:rPr>
        <w:t>Section 2.7.4</w:t>
      </w:r>
      <w:r>
        <w:rPr>
          <w:rFonts w:ascii="Times New Roman" w:cs="Times New Roman" w:eastAsia="Times New Roman" w:hAnsi="Times New Roman"/>
          <w:sz w:val="18"/>
          <w:szCs w:val="18"/>
          <w:color w:val="auto"/>
        </w:rPr>
        <w:t xml:space="preserve">, the Holder shall not be required to contribute an amount greater than the dollar amount by which the net proceeds received by the Holder with respect to the sale of any Registrable Securities exceeds the amount of damages which the Holder has otherwise been required to pay by reason of such untrue or alleged untrue </w:t>
      </w:r>
      <w:r>
        <w:rPr>
          <w:rFonts w:ascii="Times New Roman" w:cs="Times New Roman" w:eastAsia="Times New Roman" w:hAnsi="Times New Roman"/>
          <w:sz w:val="18"/>
          <w:szCs w:val="18"/>
          <w:color w:val="343434"/>
        </w:rPr>
        <w:t>statement</w:t>
      </w:r>
      <w:r>
        <w:rPr>
          <w:rFonts w:ascii="Times New Roman" w:cs="Times New Roman" w:eastAsia="Times New Roman" w:hAnsi="Times New Roman"/>
          <w:sz w:val="18"/>
          <w:szCs w:val="18"/>
          <w:color w:val="auto"/>
        </w:rPr>
        <w:t xml:space="preserve"> or omission </w:t>
      </w:r>
      <w:r>
        <w:rPr>
          <w:rFonts w:ascii="Times New Roman" w:cs="Times New Roman" w:eastAsia="Times New Roman" w:hAnsi="Times New Roman"/>
          <w:sz w:val="18"/>
          <w:szCs w:val="18"/>
          <w:color w:val="111111"/>
        </w:rPr>
        <w:t>or alleged omission. No person guilty of fraudulent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indemnification is available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indemnifying parties shall indemnify each indemnified party to the full extent provided in </w:t>
      </w:r>
      <w:r>
        <w:rPr>
          <w:rFonts w:ascii="Times New Roman" w:cs="Times New Roman" w:eastAsia="Times New Roman" w:hAnsi="Times New Roman"/>
          <w:sz w:val="18"/>
          <w:szCs w:val="18"/>
          <w:u w:val="single" w:color="auto"/>
          <w:color w:val="auto"/>
        </w:rPr>
        <w:t>Section 2.7.1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 xml:space="preserve"> without regard to the relative fault of said indemnifying party or indemnified party or any other equitable consideration provided for in this </w:t>
      </w:r>
      <w:r>
        <w:rPr>
          <w:rFonts w:ascii="Times New Roman" w:cs="Times New Roman" w:eastAsia="Times New Roman" w:hAnsi="Times New Roman"/>
          <w:sz w:val="18"/>
          <w:szCs w:val="18"/>
          <w:u w:val="single" w:color="auto"/>
          <w:color w:val="auto"/>
        </w:rPr>
        <w:t>Section 2.7.4</w:t>
      </w:r>
      <w:r>
        <w:rPr>
          <w:rFonts w:ascii="Times New Roman" w:cs="Times New Roman" w:eastAsia="Times New Roman" w:hAnsi="Times New Roman"/>
          <w:sz w:val="18"/>
          <w:szCs w:val="18"/>
          <w:color w:val="auto"/>
        </w:rPr>
        <w:t xml:space="preserve"> subject, in the case of the Holder, to the limited dollar amounts set forth in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2.7.5</w:t>
      </w:r>
      <w:r>
        <w:rPr>
          <w:rFonts w:ascii="Times New Roman" w:cs="Times New Roman" w:eastAsia="Times New Roman" w:hAnsi="Times New Roman"/>
          <w:sz w:val="18"/>
          <w:szCs w:val="18"/>
          <w:color w:val="auto"/>
        </w:rPr>
        <w:t xml:space="preserve">          The indemnification and contribution provided for under this Agreement will remain in full force and effect regardless of any investigation made by or on behalf of the indemnified party or any officer, director, or controlling Person of such indemnified party and will survive the transfer of securities. Notwithstanding anything to the contrary in the Purchase Agreement (including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thereof), the indemnification and contribution obligations set forth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not be subject to any time limitation and shall survive indefinitely, including after any termination of this Agreement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2.8           </w:t>
      </w:r>
      <w:r>
        <w:rPr>
          <w:rFonts w:ascii="Times New Roman" w:cs="Times New Roman" w:eastAsia="Times New Roman" w:hAnsi="Times New Roman"/>
          <w:sz w:val="18"/>
          <w:szCs w:val="18"/>
          <w:u w:val="single" w:color="auto"/>
          <w:color w:val="auto"/>
        </w:rPr>
        <w:t>  Transfer of Registration Rights</w:t>
      </w:r>
      <w:r>
        <w:rPr>
          <w:rFonts w:ascii="Times New Roman" w:cs="Times New Roman" w:eastAsia="Times New Roman" w:hAnsi="Times New Roman"/>
          <w:sz w:val="18"/>
          <w:szCs w:val="18"/>
          <w:color w:val="auto"/>
        </w:rPr>
        <w:t>. Any of the rights of the Holder under this Agreement may be assigned, in the discretion of the Holder, without the prior consent of the Corporation, to any Person who (i) is a Permitted Transferee (as defined below) of the Holder and (ii) agrees in writing to be bound by all terms and conditions of this Agreement. No such assignment will relieve the assigning Holder of liability based on any action or occurrence prior to such assignment. Prior to or concurrently with any such assignment, the assigning Holder shall provide written notice to the Corporation identifying the transferee and the number of Registrable Securities transferred. For purposes of this Agreement, “Permitted Transferee” means</w:t>
      </w:r>
    </w:p>
    <w:p>
      <w:pPr>
        <w:spacing w:after="0" w:line="3" w:lineRule="exact"/>
        <w:rPr>
          <w:sz w:val="20"/>
          <w:szCs w:val="20"/>
          <w:color w:val="auto"/>
        </w:rPr>
      </w:pPr>
    </w:p>
    <w:p>
      <w:pPr>
        <w:ind w:firstLine="8"/>
        <w:spacing w:after="0" w:line="260" w:lineRule="auto"/>
        <w:tabs>
          <w:tab w:leader="none" w:pos="3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of the assigning Holder, (B) any fund, investment vehicle, or managed account under common management or control with the assigning Holder, or (C) any other transferee approved in writing by the Corporation (such approval not to be unreasonably withheld, conditioned, or delayed).</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2.9           </w:t>
      </w:r>
      <w:r>
        <w:rPr>
          <w:rFonts w:ascii="Times New Roman" w:cs="Times New Roman" w:eastAsia="Times New Roman" w:hAnsi="Times New Roman"/>
          <w:sz w:val="18"/>
          <w:szCs w:val="18"/>
          <w:u w:val="single" w:color="auto"/>
          <w:color w:val="auto"/>
        </w:rPr>
        <w:t>  Rule 144</w:t>
      </w:r>
      <w:r>
        <w:rPr>
          <w:rFonts w:ascii="Times New Roman" w:cs="Times New Roman" w:eastAsia="Times New Roman" w:hAnsi="Times New Roman"/>
          <w:sz w:val="18"/>
          <w:szCs w:val="18"/>
          <w:color w:val="auto"/>
        </w:rPr>
        <w:t xml:space="preserve">. The Corporation will use commercially reasonable efforts to file the reports required to be filed by it under the Securities Act and the Exchange Act and the rules and regulations adopted by the SEC thereunder (or, if the Corporation is not required to file such reports, will, upon the request of the Holder, make publicly available other information) and will take such further action as the Holder may reasonably request, all to the extent required from time to time to enable the Holder to sell the Registrable Securities without registration under the Securities Act within the limitation of the exemptions provided by (i) Rule 144 under the Securities Act, as such rule may be amended from time to time or (ii) any similar rule or regulation hereafter adopted by the SEC. Upon the reasonable written request of the Holder, the Corporation will deliver to such parties a written statement as to whether it has complied with such requirements and will, at its expense, forthwith upon the request of the Holder, deliver to the Holder a certificate, signed by the Corporation’s principal financial officer, stating (a) the Corporation’s name, address and telephone number (including area code), (b) the Corporation’s Internal Revenue Service identification number, (c) the Corporation’s SEC file number, </w:t>
      </w:r>
      <w:r>
        <w:rPr>
          <w:rFonts w:ascii="Times New Roman" w:cs="Times New Roman" w:eastAsia="Times New Roman" w:hAnsi="Times New Roman"/>
          <w:sz w:val="18"/>
          <w:szCs w:val="18"/>
          <w:color w:val="111111"/>
        </w:rPr>
        <w:t>(d) the number of shares of each class of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stock outstanding as shown by the most recent report or statement published by the Corporation, and (e) whether the Corporation has filed the reports required to be filed under the Exchange Act for a period of at least 90 days prior to the date of such certificate and in addition has filed the most recent annual report required to be filed thereunder.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  Preservation of Rights</w:t>
      </w:r>
      <w:r>
        <w:rPr>
          <w:rFonts w:ascii="Times New Roman" w:cs="Times New Roman" w:eastAsia="Times New Roman" w:hAnsi="Times New Roman"/>
          <w:sz w:val="18"/>
          <w:szCs w:val="18"/>
          <w:color w:val="auto"/>
        </w:rPr>
        <w:t>. The Corporation will not (i) grant any registration rights to third parties which are more favorable than or inconsistent with the rights granted hereunder or (ii) enter into any agreement, take any action, or permit any change to occur, with respect to its securities that violates or subordinates the rights expressly granted to the Holder in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Sunset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2.11.1 </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xml:space="preserve"> below, all registration rights and related obligations of the Corporation set forth in this Agreement (including, without limitation, the demand registration rights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piggyback registration rights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the shelf registration obligation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terminate automatically and without further action of any party on the date (the </w:t>
      </w:r>
      <w:r>
        <w:rPr>
          <w:rFonts w:ascii="Times New Roman" w:cs="Times New Roman" w:eastAsia="Times New Roman" w:hAnsi="Times New Roman"/>
          <w:sz w:val="18"/>
          <w:szCs w:val="18"/>
          <w:b w:val="1"/>
          <w:bCs w:val="1"/>
          <w:color w:val="auto"/>
        </w:rPr>
        <w:t>“Sunset Date”</w:t>
      </w:r>
      <w:r>
        <w:rPr>
          <w:rFonts w:ascii="Times New Roman" w:cs="Times New Roman" w:eastAsia="Times New Roman" w:hAnsi="Times New Roman"/>
          <w:sz w:val="18"/>
          <w:szCs w:val="18"/>
          <w:color w:val="auto"/>
        </w:rPr>
        <w:t>) that is the date on which the Holder does not hold Registrable Securities.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xml:space="preserve">       The following provisions shall survive the Sunset Date and shall remain in full force and effect after such date:</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Any registration statement that has been filed and declared effective pursuant to this Agreement prior to the Sunset Date shall remain effective and continue to be governed by this Agreement until the earlier of (A) the sale of all Registrable Securities covered thereby, or (B) the withdrawal or deregistration of such registration statement;</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(ii)           The indemnification and contribution provisions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survive the Sunset Date indefinitely and shall not be subject to any termination;</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(iii)          The Corporation's obligations under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survive until the date on which all Registrable Securities are no longer outstanding or have been freely sold by the Holder; and</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Any liability or obligation that has accrued under this Agreement prior to the Sunset Date shall survive the Sunset Date and remain enforceable in accordance with its terms.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 instruction, direction or demand required under the terms of this Agreement shall be in writing and shall be deemed to have been duly given or made on the date of delivery to the recipient thereof if received prior to 5:00 p.m. in the place of delivery and such date is a business day (or otherwise on the next succeeding business day) if (i) served by personal delivery or by an internationally recognized overnight courier to the person or entity for whom it is intended, (ii) delivered by registered or certified mail, return receipt requested, or (iii) sent by email (unless the sender receives a non-delivery message or automatically generated response), to the following addresses: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111111"/>
        </w:rPr>
        <w:t>If to the Corporation,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FS KKR Capital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3025 JFK Boulevard, Suite 500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Sypherd, Stephen; Allison Gunther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Dechert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2929 Arch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Eric Siegel; Clay Douglas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 to such other addresses or telecopy numbers as may be specified by like notice to the other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Holder,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KKR Alternative Assets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 Hudson Yards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425 Lexington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Kenneth Wallach; Lesley Peng; Patrick Baron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 *****@*****;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111111"/>
        </w:rPr>
        <w:t xml:space="preserve">or to </w:t>
      </w:r>
      <w:r>
        <w:rPr>
          <w:rFonts w:ascii="Times New Roman" w:cs="Times New Roman" w:eastAsia="Times New Roman" w:hAnsi="Times New Roman"/>
          <w:sz w:val="18"/>
          <w:szCs w:val="18"/>
          <w:color w:val="1F1F1F"/>
        </w:rPr>
        <w:t>such</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1F1F1F"/>
        </w:rPr>
        <w:t>addresses</w:t>
      </w:r>
      <w:r>
        <w:rPr>
          <w:rFonts w:ascii="Times New Roman" w:cs="Times New Roman" w:eastAsia="Times New Roman" w:hAnsi="Times New Roman"/>
          <w:sz w:val="18"/>
          <w:szCs w:val="18"/>
          <w:color w:val="111111"/>
        </w:rPr>
        <w:t xml:space="preserve"> or telecopy numbers </w:t>
      </w:r>
      <w:r>
        <w:rPr>
          <w:rFonts w:ascii="Times New Roman" w:cs="Times New Roman" w:eastAsia="Times New Roman" w:hAnsi="Times New Roman"/>
          <w:sz w:val="18"/>
          <w:szCs w:val="18"/>
          <w:color w:val="1F1F1F"/>
        </w:rPr>
        <w:t>as</w:t>
      </w:r>
      <w:r>
        <w:rPr>
          <w:rFonts w:ascii="Times New Roman" w:cs="Times New Roman" w:eastAsia="Times New Roman" w:hAnsi="Times New Roman"/>
          <w:sz w:val="18"/>
          <w:szCs w:val="18"/>
          <w:color w:val="111111"/>
        </w:rPr>
        <w:t xml:space="preserve"> may be </w:t>
      </w:r>
      <w:r>
        <w:rPr>
          <w:rFonts w:ascii="Times New Roman" w:cs="Times New Roman" w:eastAsia="Times New Roman" w:hAnsi="Times New Roman"/>
          <w:sz w:val="18"/>
          <w:szCs w:val="18"/>
          <w:color w:val="1F1F1F"/>
        </w:rPr>
        <w:t>specified</w:t>
      </w:r>
      <w:r>
        <w:rPr>
          <w:rFonts w:ascii="Times New Roman" w:cs="Times New Roman" w:eastAsia="Times New Roman" w:hAnsi="Times New Roman"/>
          <w:sz w:val="18"/>
          <w:szCs w:val="18"/>
          <w:color w:val="111111"/>
        </w:rPr>
        <w:t xml:space="preserve"> by like notice to the other parties.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1F1F1F"/>
        </w:rPr>
        <w:t xml:space="preserve">Failure </w:t>
      </w:r>
      <w:r>
        <w:rPr>
          <w:rFonts w:ascii="Times New Roman" w:cs="Times New Roman" w:eastAsia="Times New Roman" w:hAnsi="Times New Roman"/>
          <w:sz w:val="18"/>
          <w:szCs w:val="18"/>
          <w:color w:val="000000"/>
        </w:rPr>
        <w:t>to mail</w:t>
      </w:r>
      <w:r>
        <w:rPr>
          <w:rFonts w:ascii="Times New Roman" w:cs="Times New Roman" w:eastAsia="Times New Roman" w:hAnsi="Times New Roman"/>
          <w:sz w:val="18"/>
          <w:szCs w:val="18"/>
          <w:color w:val="1F1F1F"/>
        </w:rPr>
        <w:t xml:space="preserve"> a </w:t>
      </w:r>
      <w:r>
        <w:rPr>
          <w:rFonts w:ascii="Times New Roman" w:cs="Times New Roman" w:eastAsia="Times New Roman" w:hAnsi="Times New Roman"/>
          <w:sz w:val="18"/>
          <w:szCs w:val="18"/>
          <w:color w:val="000000"/>
        </w:rPr>
        <w:t>notice or communication to the Holder or any defect in it shall not</w:t>
      </w:r>
      <w:r>
        <w:rPr>
          <w:rFonts w:ascii="Times New Roman" w:cs="Times New Roman" w:eastAsia="Times New Roman" w:hAnsi="Times New Roman"/>
          <w:sz w:val="18"/>
          <w:szCs w:val="18"/>
          <w:color w:val="1F1F1F"/>
        </w:rPr>
        <w:t xml:space="preserve"> affect </w:t>
      </w:r>
      <w:r>
        <w:rPr>
          <w:rFonts w:ascii="Times New Roman" w:cs="Times New Roman" w:eastAsia="Times New Roman" w:hAnsi="Times New Roman"/>
          <w:sz w:val="18"/>
          <w:szCs w:val="18"/>
          <w:color w:val="000000"/>
        </w:rPr>
        <w:t>its sufficiency with respect to the Holder. If a notice or</w:t>
      </w:r>
      <w:r>
        <w:rPr>
          <w:rFonts w:ascii="Times New Roman" w:cs="Times New Roman" w:eastAsia="Times New Roman" w:hAnsi="Times New Roman"/>
          <w:sz w:val="18"/>
          <w:szCs w:val="18"/>
          <w:color w:val="1F1F1F"/>
        </w:rPr>
        <w:t xml:space="preserve"> </w:t>
      </w:r>
      <w:r>
        <w:rPr>
          <w:rFonts w:ascii="Times New Roman" w:cs="Times New Roman" w:eastAsia="Times New Roman" w:hAnsi="Times New Roman"/>
          <w:sz w:val="18"/>
          <w:szCs w:val="18"/>
          <w:color w:val="000000"/>
        </w:rPr>
        <w:t xml:space="preserve">communication is mailed in the manner provided above, it is duly </w:t>
      </w:r>
      <w:r>
        <w:rPr>
          <w:rFonts w:ascii="Times New Roman" w:cs="Times New Roman" w:eastAsia="Times New Roman" w:hAnsi="Times New Roman"/>
          <w:sz w:val="18"/>
          <w:szCs w:val="18"/>
          <w:color w:val="1F1F1F"/>
        </w:rPr>
        <w:t>given,</w:t>
      </w:r>
      <w:r>
        <w:rPr>
          <w:rFonts w:ascii="Times New Roman" w:cs="Times New Roman" w:eastAsia="Times New Roman" w:hAnsi="Times New Roman"/>
          <w:sz w:val="18"/>
          <w:szCs w:val="18"/>
          <w:color w:val="000000"/>
        </w:rPr>
        <w:t xml:space="preserve"> whether or not the addressee receives it.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1F1F1F"/>
        </w:rPr>
        <w:t>Authority</w:t>
      </w:r>
      <w:r>
        <w:rPr>
          <w:rFonts w:ascii="Times New Roman" w:cs="Times New Roman" w:eastAsia="Times New Roman" w:hAnsi="Times New Roman"/>
          <w:sz w:val="18"/>
          <w:szCs w:val="18"/>
          <w:color w:val="1F1F1F"/>
        </w:rPr>
        <w:t>. Each</w:t>
      </w:r>
      <w:r>
        <w:rPr>
          <w:rFonts w:ascii="Times New Roman" w:cs="Times New Roman" w:eastAsia="Times New Roman" w:hAnsi="Times New Roman"/>
          <w:sz w:val="18"/>
          <w:szCs w:val="18"/>
          <w:color w:val="auto"/>
        </w:rPr>
        <w:t xml:space="preserve"> of the parties hereto represents on behalf of itself as follows: (i) it has the requisite corporate or other power </w:t>
      </w:r>
      <w:r>
        <w:rPr>
          <w:rFonts w:ascii="Times New Roman" w:cs="Times New Roman" w:eastAsia="Times New Roman" w:hAnsi="Times New Roman"/>
          <w:sz w:val="18"/>
          <w:szCs w:val="18"/>
          <w:color w:val="1F1F1F"/>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F1F1F"/>
        </w:rPr>
        <w:t xml:space="preserve">authority and </w:t>
      </w:r>
      <w:r>
        <w:rPr>
          <w:rFonts w:ascii="Times New Roman" w:cs="Times New Roman" w:eastAsia="Times New Roman" w:hAnsi="Times New Roman"/>
          <w:sz w:val="18"/>
          <w:szCs w:val="18"/>
          <w:color w:val="000000"/>
        </w:rPr>
        <w:t>has taken</w:t>
      </w:r>
      <w:r>
        <w:rPr>
          <w:rFonts w:ascii="Times New Roman" w:cs="Times New Roman" w:eastAsia="Times New Roman" w:hAnsi="Times New Roman"/>
          <w:sz w:val="18"/>
          <w:szCs w:val="18"/>
          <w:color w:val="1F1F1F"/>
        </w:rPr>
        <w:t xml:space="preserve"> all </w:t>
      </w:r>
      <w:r>
        <w:rPr>
          <w:rFonts w:ascii="Times New Roman" w:cs="Times New Roman" w:eastAsia="Times New Roman" w:hAnsi="Times New Roman"/>
          <w:sz w:val="18"/>
          <w:szCs w:val="18"/>
          <w:color w:val="000000"/>
        </w:rPr>
        <w:t>corporate or other</w:t>
      </w:r>
      <w:r>
        <w:rPr>
          <w:rFonts w:ascii="Times New Roman" w:cs="Times New Roman" w:eastAsia="Times New Roman" w:hAnsi="Times New Roman"/>
          <w:sz w:val="18"/>
          <w:szCs w:val="18"/>
          <w:color w:val="1F1F1F"/>
        </w:rPr>
        <w:t xml:space="preserve"> action </w:t>
      </w:r>
      <w:r>
        <w:rPr>
          <w:rFonts w:ascii="Times New Roman" w:cs="Times New Roman" w:eastAsia="Times New Roman" w:hAnsi="Times New Roman"/>
          <w:sz w:val="18"/>
          <w:szCs w:val="18"/>
          <w:color w:val="000000"/>
        </w:rPr>
        <w:t>necessary in order to</w:t>
      </w:r>
      <w:r>
        <w:rPr>
          <w:rFonts w:ascii="Times New Roman" w:cs="Times New Roman" w:eastAsia="Times New Roman" w:hAnsi="Times New Roman"/>
          <w:sz w:val="18"/>
          <w:szCs w:val="18"/>
          <w:color w:val="1F1F1F"/>
        </w:rPr>
        <w:t xml:space="preserve"> execute, </w:t>
      </w:r>
      <w:r>
        <w:rPr>
          <w:rFonts w:ascii="Times New Roman" w:cs="Times New Roman" w:eastAsia="Times New Roman" w:hAnsi="Times New Roman"/>
          <w:sz w:val="18"/>
          <w:szCs w:val="18"/>
          <w:color w:val="000000"/>
        </w:rPr>
        <w:t>deliver</w:t>
      </w:r>
      <w:r>
        <w:rPr>
          <w:rFonts w:ascii="Times New Roman" w:cs="Times New Roman" w:eastAsia="Times New Roman" w:hAnsi="Times New Roman"/>
          <w:sz w:val="18"/>
          <w:szCs w:val="18"/>
          <w:color w:val="1F1F1F"/>
        </w:rPr>
        <w:t xml:space="preserve"> and </w:t>
      </w:r>
      <w:r>
        <w:rPr>
          <w:rFonts w:ascii="Times New Roman" w:cs="Times New Roman" w:eastAsia="Times New Roman" w:hAnsi="Times New Roman"/>
          <w:sz w:val="18"/>
          <w:szCs w:val="18"/>
          <w:color w:val="000000"/>
        </w:rPr>
        <w:t>perform this</w:t>
      </w:r>
      <w:r>
        <w:rPr>
          <w:rFonts w:ascii="Times New Roman" w:cs="Times New Roman" w:eastAsia="Times New Roman" w:hAnsi="Times New Roman"/>
          <w:sz w:val="18"/>
          <w:szCs w:val="18"/>
          <w:color w:val="1F1F1F"/>
        </w:rPr>
        <w:t xml:space="preserve"> Agreement and </w:t>
      </w:r>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1F1F1F"/>
        </w:rPr>
        <w:t xml:space="preserve"> consummate </w:t>
      </w:r>
      <w:r>
        <w:rPr>
          <w:rFonts w:ascii="Times New Roman" w:cs="Times New Roman" w:eastAsia="Times New Roman" w:hAnsi="Times New Roman"/>
          <w:sz w:val="18"/>
          <w:szCs w:val="18"/>
          <w:color w:val="000000"/>
        </w:rPr>
        <w:t>the transactions</w:t>
      </w:r>
      <w:r>
        <w:rPr>
          <w:rFonts w:ascii="Times New Roman" w:cs="Times New Roman" w:eastAsia="Times New Roman" w:hAnsi="Times New Roman"/>
          <w:sz w:val="18"/>
          <w:szCs w:val="18"/>
          <w:color w:val="1F1F1F"/>
        </w:rPr>
        <w:t xml:space="preserve"> </w:t>
      </w:r>
      <w:r>
        <w:rPr>
          <w:rFonts w:ascii="Times New Roman" w:cs="Times New Roman" w:eastAsia="Times New Roman" w:hAnsi="Times New Roman"/>
          <w:sz w:val="18"/>
          <w:szCs w:val="18"/>
          <w:color w:val="000000"/>
        </w:rPr>
        <w:t xml:space="preserve">contemplated hereby, (ii) this </w:t>
      </w:r>
      <w:r>
        <w:rPr>
          <w:rFonts w:ascii="Times New Roman" w:cs="Times New Roman" w:eastAsia="Times New Roman" w:hAnsi="Times New Roman"/>
          <w:sz w:val="18"/>
          <w:szCs w:val="18"/>
          <w:color w:val="1F1F1F"/>
        </w:rPr>
        <w:t>Agreement</w:t>
      </w:r>
      <w:r>
        <w:rPr>
          <w:rFonts w:ascii="Times New Roman" w:cs="Times New Roman" w:eastAsia="Times New Roman" w:hAnsi="Times New Roman"/>
          <w:sz w:val="18"/>
          <w:szCs w:val="18"/>
          <w:color w:val="000000"/>
        </w:rPr>
        <w:t xml:space="preserve"> has been duly executed </w:t>
      </w:r>
      <w:r>
        <w:rPr>
          <w:rFonts w:ascii="Times New Roman" w:cs="Times New Roman" w:eastAsia="Times New Roman" w:hAnsi="Times New Roman"/>
          <w:sz w:val="18"/>
          <w:szCs w:val="18"/>
          <w:color w:val="1F1F1F"/>
        </w:rPr>
        <w:t>and</w:t>
      </w:r>
      <w:r>
        <w:rPr>
          <w:rFonts w:ascii="Times New Roman" w:cs="Times New Roman" w:eastAsia="Times New Roman" w:hAnsi="Times New Roman"/>
          <w:sz w:val="18"/>
          <w:szCs w:val="18"/>
          <w:color w:val="000000"/>
        </w:rPr>
        <w:t xml:space="preserve"> delivered by it and </w:t>
      </w:r>
      <w:r>
        <w:rPr>
          <w:rFonts w:ascii="Times New Roman" w:cs="Times New Roman" w:eastAsia="Times New Roman" w:hAnsi="Times New Roman"/>
          <w:sz w:val="18"/>
          <w:szCs w:val="18"/>
          <w:color w:val="1F1F1F"/>
        </w:rPr>
        <w:t>constitutes</w:t>
      </w:r>
      <w:r>
        <w:rPr>
          <w:rFonts w:ascii="Times New Roman" w:cs="Times New Roman" w:eastAsia="Times New Roman" w:hAnsi="Times New Roman"/>
          <w:sz w:val="18"/>
          <w:szCs w:val="18"/>
          <w:color w:val="000000"/>
        </w:rPr>
        <w:t xml:space="preserve"> a valid and binding agreement of it enforceable in accordance with the terms 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3.3.1 </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color w:val="1F1F1F"/>
        </w:rPr>
        <w:t>Agreement</w:t>
      </w:r>
      <w:r>
        <w:rPr>
          <w:rFonts w:ascii="Times New Roman" w:cs="Times New Roman" w:eastAsia="Times New Roman" w:hAnsi="Times New Roman"/>
          <w:sz w:val="18"/>
          <w:szCs w:val="18"/>
          <w:color w:val="auto"/>
        </w:rPr>
        <w:t xml:space="preserve"> is to be construed in accordance with and governed by the internal laws of the State of New York without </w:t>
      </w:r>
      <w:r>
        <w:rPr>
          <w:rFonts w:ascii="Times New Roman" w:cs="Times New Roman" w:eastAsia="Times New Roman" w:hAnsi="Times New Roman"/>
          <w:sz w:val="18"/>
          <w:szCs w:val="18"/>
          <w:color w:val="1F1F1F"/>
        </w:rPr>
        <w:t>giving</w:t>
      </w:r>
      <w:r>
        <w:rPr>
          <w:rFonts w:ascii="Times New Roman" w:cs="Times New Roman" w:eastAsia="Times New Roman" w:hAnsi="Times New Roman"/>
          <w:sz w:val="18"/>
          <w:szCs w:val="18"/>
          <w:color w:val="auto"/>
        </w:rPr>
        <w:t xml:space="preserve"> effect to any choice of law rule that would cause the application of the laws of any jurisdiction other than the internal laws of the State of New York to the rights </w:t>
      </w:r>
      <w:r>
        <w:rPr>
          <w:rFonts w:ascii="Times New Roman" w:cs="Times New Roman" w:eastAsia="Times New Roman" w:hAnsi="Times New Roman"/>
          <w:sz w:val="18"/>
          <w:szCs w:val="18"/>
          <w:color w:val="1F1F1F"/>
        </w:rPr>
        <w:t>and</w:t>
      </w:r>
      <w:r>
        <w:rPr>
          <w:rFonts w:ascii="Times New Roman" w:cs="Times New Roman" w:eastAsia="Times New Roman" w:hAnsi="Times New Roman"/>
          <w:sz w:val="18"/>
          <w:szCs w:val="18"/>
          <w:color w:val="auto"/>
        </w:rPr>
        <w:t xml:space="preserve"> duties of the parties.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3.3.2 </w:t>
      </w:r>
      <w:r>
        <w:rPr>
          <w:rFonts w:ascii="Times New Roman" w:cs="Times New Roman" w:eastAsia="Times New Roman" w:hAnsi="Times New Roman"/>
          <w:sz w:val="18"/>
          <w:szCs w:val="18"/>
          <w:color w:val="auto"/>
        </w:rPr>
        <w:t>        Each party hereby irrevocably and unconditionally consents to submit to the sole and exclusive jurisdiction of the United States District Court for the Southern District of New York or, if such court does not have jurisdiction, the Supreme Court of the State of New York sitting in New York County (the “</w:t>
      </w:r>
      <w:r>
        <w:rPr>
          <w:rFonts w:ascii="Times New Roman" w:cs="Times New Roman" w:eastAsia="Times New Roman" w:hAnsi="Times New Roman"/>
          <w:sz w:val="18"/>
          <w:szCs w:val="18"/>
          <w:b w:val="1"/>
          <w:bCs w:val="1"/>
          <w:color w:val="auto"/>
        </w:rPr>
        <w:t>New York Courts</w:t>
      </w:r>
      <w:r>
        <w:rPr>
          <w:rFonts w:ascii="Times New Roman" w:cs="Times New Roman" w:eastAsia="Times New Roman" w:hAnsi="Times New Roman"/>
          <w:sz w:val="18"/>
          <w:szCs w:val="18"/>
          <w:color w:val="auto"/>
        </w:rPr>
        <w:t>”) for any legal action or other legal proceeding arising out of or relating to this Agreement, or the negotiation, validity or performance of this Agreement, or the transactions contemplated thereby (and agrees not to commence any legal action or other legal proceeding relating thereto except in such courts), including to enforce any settlement, order or award. Each party hereto:</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(i)            consents to service of process in any such proceeding in any manner permitted by the laws of the State of New York, and agrees that service of process by registered or certified mail, return receipt requested, at its address specified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is reasonably calculated to give actual notice;</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agrees that the New York Courts shall be deemed to be a convenient forum; and</w:t>
      </w:r>
    </w:p>
    <w:p>
      <w:pPr>
        <w:spacing w:after="0" w:line="225"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(iii)           waives and agrees not to assert (by way of motion, as a defense or otherwise), in any such legal proceeding commenced in the New York Courts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3.3.3 </w:t>
      </w:r>
      <w:r>
        <w:rPr>
          <w:rFonts w:ascii="Times New Roman" w:cs="Times New Roman" w:eastAsia="Times New Roman" w:hAnsi="Times New Roman"/>
          <w:sz w:val="18"/>
          <w:szCs w:val="18"/>
          <w:color w:val="auto"/>
        </w:rPr>
        <w:t>        In the event of any action or other proceeding relating to this Agreement or the enforcement of any provision of this Agreement, the prevailing party (as determined by the court) shall be entitled to payment by the non-prevailing party of all costs and expenses (including reasonable attorneys’ fees) incurred by the prevailing party, including any costs and expenses incurred in connection with any challenge to the jurisdiction or the convenience or propriety of venue of proceedings before the New York Courts.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3.3.4</w:t>
      </w:r>
      <w:r>
        <w:rPr>
          <w:rFonts w:ascii="Times New Roman" w:cs="Times New Roman" w:eastAsia="Times New Roman" w:hAnsi="Times New Roman"/>
          <w:sz w:val="18"/>
          <w:szCs w:val="18"/>
          <w:color w:val="auto"/>
        </w:rPr>
        <w:t xml:space="preserve">         Each of the parties hereto hereby waives to the fullest extent permitted by applicable law any right it may have to a trial by jury with respect to any legal action or other legal proceeding directly or indirectly arising out of, under or in connection with this Agreement or the transactions contemplated hereby. Each of the parties hereto (a) certifies that no representative, agent or attorney of any other party has represented, expressly or otherwise, that such other party would not, in the event of litigation, seek to enforce that foregoing waiver and (b) acknowledges that it and the other parties hereto have been induced to enter into this Agreement and the transactions contemplated by this Agreement, as applicable, by, among other things, the mutual waivers set forth in this </w:t>
      </w:r>
      <w:r>
        <w:rPr>
          <w:rFonts w:ascii="Times New Roman" w:cs="Times New Roman" w:eastAsia="Times New Roman" w:hAnsi="Times New Roman"/>
          <w:sz w:val="18"/>
          <w:szCs w:val="18"/>
          <w:u w:val="single" w:color="auto"/>
          <w:color w:val="auto"/>
        </w:rPr>
        <w:t>Section 3.3.4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The Holder, in addition to being entitled to exercise all rights provided to it herein or granted by law, including recovery of damages, will be entitled to specific performance of its rights under this Agreement. The Corporation agrees that monetary damages would not be adequate compensation for any loss incurred by reason of a breach by it of the provisions of this Agreement and hereby agrees to waive in any action for specific performance the defense that a remedy at law would be adequate.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Except as otherwise expressly provided herein, this Agreement shall be binding upon and benefit the Corporation, the Holder, and their respective successors and assigns.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3.6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Any term or provision hereof that is held by a court of competent jurisdiction or other authority to be invalid, void or unenforceable in any situation in any jurisdiction will not affect the validity or enforceability of the remaining terms and provisions hereof or the validity or enforceability of the invalid, void or unenforceable term or provision in any other situation or in any other jurisdiction. If the final judgment of a court of competent jurisdiction or other authority declares any term or provision hereof invalid, void or unenforceable, the court or other authority making such determination will have the power to and will, subject to the discretion of such body, reduce the scope, duration, area or applicability of the term or provision, to delete specific words or phrases, or to replace any invalid, void or unenforceable term or provision with a term or provision that is valid and enforceable and that comes closest to expressing the intention of the invalid or unenforceable term or provision.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3.7           </w:t>
      </w:r>
      <w:r>
        <w:rPr>
          <w:rFonts w:ascii="Times New Roman" w:cs="Times New Roman" w:eastAsia="Times New Roman" w:hAnsi="Times New Roman"/>
          <w:sz w:val="18"/>
          <w:szCs w:val="18"/>
          <w:u w:val="single" w:color="auto"/>
          <w:color w:val="auto"/>
        </w:rPr>
        <w:t>  Waivers</w:t>
      </w:r>
      <w:r>
        <w:rPr>
          <w:rFonts w:ascii="Times New Roman" w:cs="Times New Roman" w:eastAsia="Times New Roman" w:hAnsi="Times New Roman"/>
          <w:sz w:val="18"/>
          <w:szCs w:val="18"/>
          <w:color w:val="auto"/>
        </w:rPr>
        <w:t>. A provision of this Agreement may be waived only by a writing signed by the party or parties intended to be bound by the waiver. A party is not prevented from enforcing any right, remedy or condition in the party’s favor because of any failure or delay in exercising any right or remedy or in requiring satisfaction of any condition, except to the extent that the party specifically waives the same in writing. A written waiver given for one matter or occasion is effective only in that instance and only for the purpose stated. A waiver once given is not to be construed as a waiver for any other matter or occasion. Any enumeration of a party’s rights and remedies in this Agreement is not intended to be exclusive, and a party’s rights and remedies are intended to be cumulative to the extent permitted by law and include any rights and remedies authorized in law or in equity.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3.8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This Agreement may not be amended or modified in any respect except by a written agreement signed by the Corporation and the Holder.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3.9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contains the entire agreement of the parties and supersedes all prior and contemporaneous agreements</w:t>
      </w:r>
      <w:r>
        <w:rPr>
          <w:rFonts w:ascii="Times New Roman" w:cs="Times New Roman" w:eastAsia="Times New Roman" w:hAnsi="Times New Roman"/>
          <w:sz w:val="18"/>
          <w:szCs w:val="18"/>
          <w:color w:val="494949"/>
        </w:rPr>
        <w:t>,</w:t>
      </w:r>
      <w:r>
        <w:rPr>
          <w:rFonts w:ascii="Times New Roman" w:cs="Times New Roman" w:eastAsia="Times New Roman" w:hAnsi="Times New Roman"/>
          <w:sz w:val="18"/>
          <w:szCs w:val="18"/>
          <w:color w:val="auto"/>
        </w:rPr>
        <w:t xml:space="preserve"> negotiations, arrangements, representations and understandings, written, oral or otherwise, between the parties with respect to the subject matter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one or more counterparts (whether delivered by electronic copy or otherwise), each of which will be considered one and the same agreement and will become effective when counterparts have been signed by each of the parties and delivered to the other party. Each party need not sign the same counterpart.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Construction and Interpretation</w:t>
      </w:r>
      <w:r>
        <w:rPr>
          <w:rFonts w:ascii="Times New Roman" w:cs="Times New Roman" w:eastAsia="Times New Roman" w:hAnsi="Times New Roman"/>
          <w:sz w:val="18"/>
          <w:szCs w:val="18"/>
          <w:color w:val="auto"/>
        </w:rPr>
        <w:t>. When a reference is made in this Agreement to a section or article, such reference will be to a section or article of this Agreement, unless otherwise clearly indicated to the contrary. Whenever the words “include,” “includes” or “including” are used in this Agreement they will be deemed to be followed by the words “without limitation”. The words “hereof,” “herein” and “herewith” and words of similar import will, unless otherwise stated, be construed to refer to this Agreement as a whole and not to any particular provision of this Agreement, and article and section references are references to the articles and sections of this Agreement, unless otherwise specified. The plural of any defined term will have a meaning correlative to such defined term and words denoting any gender will include all genders and the neuter. Where a word or phrase is defined herein, each of its other grammatical forms will have a corresponding meaning. A reference to any legislation or to any provision of any legislation will include any modification</w:t>
      </w:r>
      <w:r>
        <w:rPr>
          <w:rFonts w:ascii="Times New Roman" w:cs="Times New Roman" w:eastAsia="Times New Roman" w:hAnsi="Times New Roman"/>
          <w:sz w:val="18"/>
          <w:szCs w:val="18"/>
          <w:color w:val="494949"/>
        </w:rPr>
        <w:t>,</w:t>
      </w:r>
      <w:r>
        <w:rPr>
          <w:rFonts w:ascii="Times New Roman" w:cs="Times New Roman" w:eastAsia="Times New Roman" w:hAnsi="Times New Roman"/>
          <w:sz w:val="18"/>
          <w:szCs w:val="18"/>
          <w:color w:val="auto"/>
        </w:rPr>
        <w:t xml:space="preserve"> amendment, re-enactment thereof, any legislative provision substituted therefore and all rules, regulations and statutory instruments issued or related to such legislation. If any ambiguity or question of intent or interpretation arises, this Agreement will be construed as if drafted jointly by the parties, and no presumption or burden of proof will arise favoring or disfavoring any party by virtue of the authorship of any provision of this Agreement. No prior draft of this Agreement will be used in the interpretation or construction of this Agreement. The parties intend that each provision of this Agreement will be given full separate and independent effect. Although the same or similar subject matters may be addressed in different provisions of this Agreement, the parties intend that, except as expressly provided herein</w:t>
      </w:r>
      <w:r>
        <w:rPr>
          <w:rFonts w:ascii="Times New Roman" w:cs="Times New Roman" w:eastAsia="Times New Roman" w:hAnsi="Times New Roman"/>
          <w:sz w:val="18"/>
          <w:szCs w:val="18"/>
          <w:color w:val="494949"/>
        </w:rPr>
        <w:t>,</w:t>
      </w:r>
      <w:r>
        <w:rPr>
          <w:rFonts w:ascii="Times New Roman" w:cs="Times New Roman" w:eastAsia="Times New Roman" w:hAnsi="Times New Roman"/>
          <w:sz w:val="18"/>
          <w:szCs w:val="18"/>
          <w:color w:val="auto"/>
        </w:rPr>
        <w:t xml:space="preserve"> each such provision will be read separately, be given independent significance and not be construed as limiting any other provision of this Agreement (whether or not more general or more specific in scope, substance or content). Headings are used for convenience only and will not in any way affect the construction or interpretation of this Agreement. References to documents includes electronic communications.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31313"/>
        </w:rPr>
        <w:t>[THE REMAINDER OF THIS PAGE IS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FS KKR CAPITAL CORP.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Stephen S. Sypherd</w:t>
      </w:r>
    </w:p>
    <w:p>
      <w:pPr>
        <w:spacing w:after="0" w:line="23"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877" w:right="1440" w:bottom="1440" w:gutter="0" w:footer="0" w:header="0"/>
        </w:sectPr>
      </w:pPr>
    </w:p>
    <w:bookmarkStart w:id="37" w:name="page38"/>
    <w:bookmarkEnd w:id="37"/>
    <w:p>
      <w:pPr>
        <w:ind w:left="45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KKR ALTERNATIVE ASSETS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KKR Alternative Assets Limited, its general partner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Robert Lewin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156845</wp:posOffset>
            </wp:positionV>
            <wp:extent cx="3677285" cy="5657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772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KKR Capital Corp. Announces First Quarter 2026 Results and Strategic Value Enhancement Actions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Declares Second Quarter 2026 Distribution of $0.42 per share</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PHILADELPHIA, PA AND NEW YORK, NY – May 11, 2026 – FS KKR Capital Corp. (NYSE: FSK), or the Company, today announced its financial and operating results for the quarter ended March 31, 2026 and announced certain strategic value enhancement actions, as further outlined below. Additionally, the Company announced that its board of directors has declared a second quarter 2026 distribution of $0.42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Operating Highlights for the Quarter Ended March 31, 2026</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investment income of $0.42 per share, compared to $0.48 per share for the quarter ended December 31, 2025</w:t>
      </w:r>
    </w:p>
    <w:p>
      <w:pPr>
        <w:spacing w:after="0" w:line="227"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net investment income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$0.41 per share, compared to $0.52 per share for the quarter ended December 31, 2025</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asset value of $18.83 per share, compared to $20.89 per share as of December 31, 2025</w:t>
      </w:r>
    </w:p>
    <w:p>
      <w:pPr>
        <w:spacing w:after="0" w:line="224" w:lineRule="exact"/>
        <w:rPr>
          <w:rFonts w:ascii="Arial" w:cs="Arial" w:eastAsia="Arial" w:hAnsi="Arial"/>
          <w:sz w:val="18"/>
          <w:szCs w:val="18"/>
          <w:b w:val="1"/>
          <w:bCs w:val="1"/>
          <w:color w:val="auto"/>
        </w:rPr>
      </w:pPr>
    </w:p>
    <w:p>
      <w:pPr>
        <w:ind w:left="660" w:right="380" w:hanging="328"/>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net realized and unrealized loss of $2.00 per share, compared to a total net realized and unrealized loss of $0.89 per share for the quarter ended December 31, 2025</w:t>
      </w:r>
    </w:p>
    <w:p>
      <w:pPr>
        <w:spacing w:after="0" w:line="166" w:lineRule="exact"/>
        <w:rPr>
          <w:rFonts w:ascii="Arial" w:cs="Arial" w:eastAsia="Arial" w:hAnsi="Arial"/>
          <w:sz w:val="18"/>
          <w:szCs w:val="18"/>
          <w:b w:val="1"/>
          <w:bCs w:val="1"/>
          <w:color w:val="auto"/>
        </w:rPr>
      </w:pPr>
    </w:p>
    <w:p>
      <w:pPr>
        <w:ind w:left="1300" w:right="200" w:hanging="320"/>
        <w:spacing w:after="0" w:line="216" w:lineRule="auto"/>
        <w:tabs>
          <w:tab w:leader="none" w:pos="130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net realized and unrealized loss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$1.99 per share, compared to adjusted net realized and unrealized loss of $0.88 per share for the quarter ended December 31, 2025</w:t>
      </w:r>
    </w:p>
    <w:p>
      <w:pPr>
        <w:spacing w:after="0" w:line="198"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Earnings (Loss) per share of ($1.57), compared to Earnings (Loss) per share of ($0.41) for the quarter ended December 31, 2025</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purchases of $499 million versus $710 million of sales and repayments</w:t>
      </w:r>
    </w:p>
    <w:p>
      <w:pPr>
        <w:spacing w:after="0" w:line="227"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debt to equity ratio</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as of March 31, 2026 was 131%, compared to 122% as of December 31, 2025</w:t>
      </w:r>
    </w:p>
    <w:p>
      <w:pPr>
        <w:spacing w:after="0" w:line="139"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Paid distributions to stockholders totaling $0.48 per share</w:t>
      </w:r>
      <w:r>
        <w:rPr>
          <w:rFonts w:ascii="Times New Roman" w:cs="Times New Roman" w:eastAsia="Times New Roman" w:hAnsi="Times New Roman"/>
          <w:sz w:val="29"/>
          <w:szCs w:val="29"/>
          <w:color w:val="auto"/>
          <w:vertAlign w:val="superscript"/>
        </w:rPr>
        <w:t>(4)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Value Enhancement Actions</w:t>
      </w:r>
    </w:p>
    <w:p>
      <w:pPr>
        <w:spacing w:after="0" w:line="227" w:lineRule="exact"/>
        <w:rPr>
          <w:sz w:val="20"/>
          <w:szCs w:val="20"/>
          <w:color w:val="auto"/>
        </w:rPr>
      </w:pPr>
    </w:p>
    <w:p>
      <w:pPr>
        <w:ind w:left="660" w:right="20" w:hanging="328"/>
        <w:spacing w:after="0" w:line="269" w:lineRule="auto"/>
        <w:tabs>
          <w:tab w:leader="none" w:pos="660" w:val="left"/>
        </w:tabs>
        <w:numPr>
          <w:ilvl w:val="0"/>
          <w:numId w:val="11"/>
        </w:numPr>
        <w:rPr>
          <w:rFonts w:ascii="Arial" w:cs="Arial" w:eastAsia="Arial" w:hAnsi="Arial"/>
          <w:sz w:val="17"/>
          <w:szCs w:val="17"/>
          <w:b w:val="1"/>
          <w:bCs w:val="1"/>
          <w:color w:val="auto"/>
        </w:rPr>
      </w:pPr>
      <w:r>
        <w:rPr>
          <w:rFonts w:ascii="Times New Roman" w:cs="Times New Roman" w:eastAsia="Times New Roman" w:hAnsi="Times New Roman"/>
          <w:sz w:val="17"/>
          <w:szCs w:val="17"/>
          <w:i w:val="1"/>
          <w:iCs w:val="1"/>
          <w:u w:val="single" w:color="auto"/>
          <w:color w:val="auto"/>
        </w:rPr>
        <w:t>$150 million Cumulative Convertible Perpetual Preferred.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subsidiary of KKR has agreed to invest $150 million in cumulative convertible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perpetual preferred stock (the “Preferred Stock”). This investment will close as soon as practicable following the consummation of the tender offer (described below), subject to regulatory approval, including the expiration or termination of the applicable waiting period under the Hart-Scott-Rodino Antitrust Improvements Act of 1976, as amended (the “HSR Act”). The Preferred Stock contains a current dividend rate of 5.00% per annum in cash, or, at the Company’s option, 7.00% per annum in PIK dividends. The Preferred Stock will rank junior to all existing indebtedness of the Company and senior to the Company’s common stock. The Preferred Stock may be redeemed by the Company at any time in cash and, after three years, if the Company’s common stock is trading equal to or above the conversion price, will be convertible by the Company into the Company’s common stock at the conversion price then in effect. Initially, the conversion price is $18.83 (the Company’s net asset value per share as of March 31, 2026) per share. The conversion price will be subject to customary adjustments, including certain anti-dilution protections. At the option of the holders of the Preferred Stock, after six months, the Preferred Stock may be converted into the Company’s common stock at the conversion price then in effect and, after six years, the Preferred Stock may be redeemable in cash. The proceeds of the Preferred Stock are expected to be used for general corporate purposes, including funding any Company common stock repurchase program or debt repayment.</w:t>
      </w:r>
    </w:p>
    <w:p>
      <w:pPr>
        <w:spacing w:after="0" w:line="177" w:lineRule="exact"/>
        <w:rPr>
          <w:rFonts w:ascii="Arial" w:cs="Arial" w:eastAsia="Arial" w:hAnsi="Arial"/>
          <w:sz w:val="17"/>
          <w:szCs w:val="17"/>
          <w:b w:val="1"/>
          <w:bCs w:val="1"/>
          <w:color w:val="auto"/>
        </w:rPr>
      </w:pPr>
    </w:p>
    <w:p>
      <w:pPr>
        <w:ind w:left="660" w:right="100" w:hanging="328"/>
        <w:spacing w:after="0" w:line="258"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u w:val="single" w:color="auto"/>
          <w:color w:val="auto"/>
        </w:rPr>
        <w:t>$150 million Tender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separately announced, a subsidiary of KKR intends to commence a fixed price tender offer for up to $150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amount of shares of FSK’s common stock (the “Tender”). The Tender was announced at a price of $11.00 per share. The Tender will be available to all stockholders of FSK, is expected to commence on or around May 12, 2026 and is expected to remain open for 20 business days, subject to customary closing conditions and the expiration or termination of the applicable waiting period under the HSR Act. KKR believes the intrinsic value of FSK’s common stock is in excess of the Tender price of $11.00 per share.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ind w:left="660" w:hanging="328"/>
        <w:spacing w:after="0" w:line="255"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u w:val="single" w:color="auto"/>
          <w:color w:val="auto"/>
        </w:rPr>
        <w:t>$300 million Share Repurchase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board of directors has authorized a $300 million stock repurchase program,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implemented as soon as practicable following the expiration of the Tender. The Company expects to repurchase shares of its common stock in the open market, by tender offer or in privately negotiated purchases in compliance with applicable law, while simultaneously being mindful of net repayment levels and the Company’s total leverage level. During the stock repurchase period, the Company’s new investment originations may be reduced as the Company will focus on supporting existing portfolio companies, reducing leverage, and repurchasing stock. The board-authorized stock repurchase program is scheduled to expire on June 1, 2027, unless extended, or until the aggregate repurchase amount that has been approved by the FSK board of directors has been expended.</w:t>
      </w:r>
    </w:p>
    <w:p>
      <w:pPr>
        <w:spacing w:after="0" w:line="187" w:lineRule="exact"/>
        <w:rPr>
          <w:rFonts w:ascii="Arial" w:cs="Arial" w:eastAsia="Arial" w:hAnsi="Arial"/>
          <w:sz w:val="18"/>
          <w:szCs w:val="18"/>
          <w:b w:val="1"/>
          <w:bCs w:val="1"/>
          <w:color w:val="auto"/>
        </w:rPr>
      </w:pPr>
    </w:p>
    <w:p>
      <w:pPr>
        <w:ind w:left="660" w:right="100" w:hanging="328"/>
        <w:spacing w:after="0" w:line="257"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u w:val="single" w:color="auto"/>
          <w:color w:val="auto"/>
        </w:rPr>
        <w:t>50% Subordinated Income Incentive Fee Waiver.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with the second quarter of 2026, KKR has agreed to waive 100% of its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subordinated income incentive fee (the “Incentive Fee Waiver”). The Incentive Fee Waiver applies to 50% of the total subordinated income incentive fee that would otherwise be paid by FSK. The Incentive Fee Waiver will continue for four consecutive quarters, after which time the Company’s board of directors will review the overall fee construct, consistent with its obligations under the Investment Company Act of 1940, as amended. The Incentive Fee Waiver is expected to support the Company’s level of net investment income and, accordingly, support the Company’s quarterly distribution level.</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 joint statement, Michael C. Forman, Chief Executive Officer and Chairman, and Daniel R. Pietrzak, President and Chief Investment Officer for FSK and Partner and Global Head of Private Credit at KKR, stated, “Our first quarter decline in net asset value was driven by investments which have impacted prior quarters, certain new non-accrual assets, and the impact of market-driven spread widening in certain segments of our portfolio. As we continue to address investments that have had an outsized impact on NAV, we are taking several strategic steps in an effort to improve the financial position of FSK and to enhance shareholder value. We believe FSK’s current stock price underappreciates the long-term value associated with FSK’s investment portfolio and the KKR Credit platform. The four strategic actions announced this morning underscore our confidence in FSK and align that level of confidence with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8, 2026, the Company entered into an amendment to its Senior Secured Revolving Credit Agreement, by and among the Company, as borrower, each of the lenders party thereto, JPMorgan Chase Bank, N.A., as administrative agent, and ING Capital LLC, as collateral agent. The amendment provides for, among other things, (i) a reduction of the total commitments to approximately $4,051.7 million from $4,700.0 million, (ii) an increase to the applicable margin, with respect to extending lenders only, with the margin increasing to a range of 0.775% to 1.9% per annum from the existing range of 0.65% to</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1.775%, depending on the type of loan and (iii) a reset of the minimum Shareholders’ Equity (as defined in the agreement) floor to $3,750.0 million from approximately $5,048.6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Declaration of Distribution for Second Quarter 2026</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May 6, 2026, FSK’s board of directors declared a distribution for the second quarter of $0.42 per share, which will be paid on or about July 2, 2026 to stockholders of record as of the close of business on June 17, 2026.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Portfolio Highlights as of March 31, 2026</w:t>
      </w:r>
    </w:p>
    <w:p>
      <w:pPr>
        <w:spacing w:after="0" w:line="22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fair value of investments was $12.3 billion of which 63.7% was invested in senior secured securities.</w:t>
      </w:r>
    </w:p>
    <w:p>
      <w:pPr>
        <w:spacing w:after="0" w:line="227" w:lineRule="exact"/>
        <w:rPr>
          <w:rFonts w:ascii="Arial" w:cs="Arial" w:eastAsia="Arial" w:hAnsi="Arial"/>
          <w:sz w:val="18"/>
          <w:szCs w:val="18"/>
          <w:b w:val="1"/>
          <w:bCs w:val="1"/>
          <w:color w:val="auto"/>
        </w:rPr>
      </w:pPr>
    </w:p>
    <w:p>
      <w:pPr>
        <w:ind w:left="660" w:right="140" w:hanging="328"/>
        <w:spacing w:after="0" w:line="216"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Weighted average annual yield on accruing debt investments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was 9.9%, compared to 10.1% as of December 31, 2025. Excluding the impact of merger accounting, weighted average annual yield on accruing debt investments was 9.7%, compared to 10.0% as of December 31, 2025.</w:t>
      </w:r>
    </w:p>
    <w:p>
      <w:pPr>
        <w:spacing w:after="0" w:line="202" w:lineRule="exact"/>
        <w:rPr>
          <w:rFonts w:ascii="Arial" w:cs="Arial" w:eastAsia="Arial" w:hAnsi="Arial"/>
          <w:sz w:val="18"/>
          <w:szCs w:val="18"/>
          <w:b w:val="1"/>
          <w:bCs w:val="1"/>
          <w:color w:val="auto"/>
        </w:rPr>
      </w:pPr>
    </w:p>
    <w:p>
      <w:pPr>
        <w:ind w:left="660" w:right="100" w:hanging="328"/>
        <w:spacing w:after="0" w:line="216"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Weighted average annual yield on all debt investments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was 8.7%, compared to 9.3% as of December 31, 2025. Excluding the impact of merger accounting, weighted average annual yield on all debt investments was 8.6%, compared to 9.2% as of December 31, 2025.</w:t>
      </w:r>
    </w:p>
    <w:p>
      <w:pPr>
        <w:spacing w:after="0" w:line="19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Exposure to the top ten largest portfolio companies by fair value was 20%, compared to 19% as of December 31, 2025.</w:t>
      </w:r>
    </w:p>
    <w:p>
      <w:pPr>
        <w:spacing w:after="0" w:line="224" w:lineRule="exact"/>
        <w:rPr>
          <w:rFonts w:ascii="Arial" w:cs="Arial" w:eastAsia="Arial" w:hAnsi="Arial"/>
          <w:sz w:val="18"/>
          <w:szCs w:val="18"/>
          <w:b w:val="1"/>
          <w:bCs w:val="1"/>
          <w:color w:val="auto"/>
        </w:rPr>
      </w:pPr>
    </w:p>
    <w:p>
      <w:pPr>
        <w:ind w:left="660" w:right="160" w:hanging="328"/>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of March 31, 2026, investments on non-accrual status represented 4.2% and 8.1% of the total investment portfolio at fair value and amortized cost, respectively, compared to 3.4% and 5.5% as of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Portfolio Data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As of March 31, 2026</w:t>
            </w:r>
          </w:p>
        </w:tc>
        <w:tc>
          <w:tcPr>
            <w:tcW w:w="20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As of December 31, 2025</w:t>
            </w:r>
          </w:p>
        </w:tc>
      </w:tr>
      <w:tr>
        <w:trPr>
          <w:trHeight w:val="210"/>
        </w:trPr>
        <w:tc>
          <w:tcPr>
            <w:tcW w:w="6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investments (in millions)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Asset Class (based on fair 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Secured Loans — First Lien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Secured Loans — Second Lien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Senior Secured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Based Finance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Opportunities Partners JV, LLC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Equity/Other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Type (based on fair 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Variable Rate Debt Investments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61.2%</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Fixed Rate Debt Investments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Other Income Producing Investments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r>
      <w:tr>
        <w:trPr>
          <w:trHeight w:val="257"/>
        </w:trPr>
        <w:tc>
          <w:tcPr>
            <w:tcW w:w="69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Non-Income Producing Investments</w:t>
            </w:r>
            <w:r>
              <w:rPr>
                <w:rFonts w:ascii="Times New Roman" w:cs="Times New Roman" w:eastAsia="Times New Roman" w:hAnsi="Times New Roman"/>
                <w:sz w:val="29"/>
                <w:szCs w:val="29"/>
                <w:color w:val="auto"/>
                <w:vertAlign w:val="superscript"/>
              </w:rPr>
              <w:t>(7)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57"/>
        </w:trPr>
        <w:tc>
          <w:tcPr>
            <w:tcW w:w="69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of Investments on Non-Accrual</w:t>
            </w:r>
            <w:r>
              <w:rPr>
                <w:rFonts w:ascii="Times New Roman" w:cs="Times New Roman" w:eastAsia="Times New Roman" w:hAnsi="Times New Roman"/>
                <w:sz w:val="29"/>
                <w:szCs w:val="29"/>
                <w:color w:val="auto"/>
                <w:vertAlign w:val="superscript"/>
              </w:rPr>
              <w:t>(6)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 and Liquidity as of March 31, 2026</w:t>
      </w:r>
    </w:p>
    <w:p>
      <w:pPr>
        <w:spacing w:after="0" w:line="233" w:lineRule="exact"/>
        <w:rPr>
          <w:sz w:val="20"/>
          <w:szCs w:val="20"/>
          <w:color w:val="auto"/>
        </w:rPr>
      </w:pPr>
    </w:p>
    <w:p>
      <w:pPr>
        <w:ind w:left="660" w:right="240" w:hanging="328"/>
        <w:spacing w:after="0" w:line="225"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debt to equity ratio</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131%, based on $7.3 billion in total debt outstanding, $133 million of cash, cash equivalents, restricted cash</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and foreign currency and $261 million of net receivable for investments sold and repaid and stockholders’ equity of $5.3 billion. FSK’s weighted average effective interest rate (including the effect of non-usage fees) was 5.27%.</w:t>
      </w:r>
    </w:p>
    <w:p>
      <w:pPr>
        <w:spacing w:after="0" w:line="200" w:lineRule="exact"/>
        <w:rPr>
          <w:rFonts w:ascii="Arial" w:cs="Arial" w:eastAsia="Arial" w:hAnsi="Arial"/>
          <w:sz w:val="18"/>
          <w:szCs w:val="18"/>
          <w:b w:val="1"/>
          <w:bCs w:val="1"/>
          <w:color w:val="auto"/>
        </w:rPr>
      </w:pPr>
    </w:p>
    <w:p>
      <w:pPr>
        <w:ind w:left="660" w:right="80" w:hanging="328"/>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Cash, cash equivalents, restricted cash and foreign currency of $133 million and availability under the Company’s financing arrangements of $2.6 billion, subject to borrowing base and other limitations.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of March 31, 2026, 51% of the Company’s $7.3 billion of total debt outstanding was in unsecured debt and 49% in secured debt.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line="256" w:lineRule="auto"/>
        <w:rPr>
          <w:sz w:val="20"/>
          <w:szCs w:val="20"/>
          <w:color w:val="auto"/>
        </w:rPr>
      </w:pPr>
      <w:r>
        <w:rPr>
          <w:rFonts w:ascii="Times New Roman" w:cs="Times New Roman" w:eastAsia="Times New Roman" w:hAnsi="Times New Roman"/>
          <w:sz w:val="18"/>
          <w:szCs w:val="18"/>
          <w:i w:val="1"/>
          <w:iCs w:val="1"/>
          <w:color w:val="auto"/>
        </w:rPr>
        <w:t>This communication is neither an offer to purchase nor a solicitation of an offer to sell any shares of common stock of the Company or any other securities. On the commencement date of the Tender, KKR will file with the U.S. Securities and Exchange Commission (“SEC”) a tender offer statement on Schedule TO. The tender offer will be made only pursuant to the offer to purchase, letter of transmittal and related tender offer documents filed as part of the Schedule TO with the SEC upon commencement of the tender offer. Investors and holders of Shares are strongly advised to read the tender offer statement (including an offer to purchase, letter of transmittal and related tender offer documents) and the related solicitation/recommendation statement on Schedule 14D-9 that will be filed by the Company with the SEC, because they will contain important information. These documents will be available at no charge on the SEC’s website at www.sec.gov.</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FSK will host its first quarter 2026 results conference call via live webcast on Monday, May 11, 2026 at 9:00 a.m. (Eastern Time). All interested parties are welcome to participate and can access the live webcast from the For Investors section of FSK’s website at </w:t>
      </w:r>
      <w:r>
        <w:rPr>
          <w:rFonts w:ascii="Times New Roman" w:cs="Times New Roman" w:eastAsia="Times New Roman" w:hAnsi="Times New Roman"/>
          <w:sz w:val="18"/>
          <w:szCs w:val="18"/>
          <w:u w:val="single" w:color="auto"/>
          <w:color w:val="auto"/>
        </w:rPr>
        <w:t>www.fskkrcapitalcorp.com</w:t>
      </w:r>
      <w:r>
        <w:rPr>
          <w:rFonts w:ascii="Times New Roman" w:cs="Times New Roman" w:eastAsia="Times New Roman" w:hAnsi="Times New Roman"/>
          <w:sz w:val="18"/>
          <w:szCs w:val="18"/>
          <w:color w:val="auto"/>
        </w:rPr>
        <w:t xml:space="preserve"> under Events &amp; Presentations or through the following URL: </w:t>
      </w:r>
      <w:r>
        <w:rPr>
          <w:rFonts w:ascii="Times New Roman" w:cs="Times New Roman" w:eastAsia="Times New Roman" w:hAnsi="Times New Roman"/>
          <w:sz w:val="18"/>
          <w:szCs w:val="18"/>
          <w:u w:val="single" w:color="auto"/>
          <w:color w:val="auto"/>
        </w:rPr>
        <w:t>https://edge.media-server.com/mmc/p/ysenbwyi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Research analysts who wish to participate in the conference call are requested to register a day in advance or at a minimum 15 minutes before the start of the call using the following URL: </w:t>
      </w:r>
      <w:r>
        <w:rPr>
          <w:rFonts w:ascii="Times New Roman" w:cs="Times New Roman" w:eastAsia="Times New Roman" w:hAnsi="Times New Roman"/>
          <w:sz w:val="18"/>
          <w:szCs w:val="18"/>
          <w:u w:val="single" w:color="auto"/>
          <w:color w:val="auto"/>
        </w:rPr>
        <w:t>https://register-conf.media-server.com/register/BI86a0953ea3aa44758a814b6928917e4c</w:t>
      </w:r>
      <w:r>
        <w:rPr>
          <w:rFonts w:ascii="Times New Roman" w:cs="Times New Roman" w:eastAsia="Times New Roman" w:hAnsi="Times New Roman"/>
          <w:sz w:val="18"/>
          <w:szCs w:val="18"/>
          <w:color w:val="auto"/>
        </w:rPr>
        <w:t>. Upon registration, all telephone participants will receive a confirmation email detailing how to join the conference call, including the dial-in number along with a unique PIN number that can be used to access the call.</w:t>
      </w:r>
    </w:p>
    <w:p>
      <w:pPr>
        <w:spacing w:after="0" w:line="180" w:lineRule="exact"/>
        <w:rPr>
          <w:sz w:val="20"/>
          <w:szCs w:val="20"/>
          <w:color w:val="auto"/>
        </w:rPr>
      </w:pPr>
    </w:p>
    <w:p>
      <w:pPr>
        <w:ind w:right="2340"/>
        <w:spacing w:after="0" w:line="282" w:lineRule="auto"/>
        <w:rPr>
          <w:sz w:val="20"/>
          <w:szCs w:val="20"/>
          <w:color w:val="auto"/>
        </w:rPr>
      </w:pPr>
      <w:r>
        <w:rPr>
          <w:rFonts w:ascii="Times New Roman" w:cs="Times New Roman" w:eastAsia="Times New Roman" w:hAnsi="Times New Roman"/>
          <w:sz w:val="18"/>
          <w:szCs w:val="18"/>
          <w:color w:val="auto"/>
        </w:rPr>
        <w:t xml:space="preserve">An investor presentation of financial information will be available by visiting the For Investors section of FSK’s website at </w:t>
      </w:r>
      <w:r>
        <w:rPr>
          <w:rFonts w:ascii="Times New Roman" w:cs="Times New Roman" w:eastAsia="Times New Roman" w:hAnsi="Times New Roman"/>
          <w:sz w:val="18"/>
          <w:szCs w:val="18"/>
          <w:u w:val="single" w:color="auto"/>
          <w:color w:val="auto"/>
        </w:rPr>
        <w:t>www.fskkrcapitalcorp.com,</w:t>
      </w:r>
      <w:r>
        <w:rPr>
          <w:rFonts w:ascii="Times New Roman" w:cs="Times New Roman" w:eastAsia="Times New Roman" w:hAnsi="Times New Roman"/>
          <w:sz w:val="18"/>
          <w:szCs w:val="18"/>
          <w:color w:val="auto"/>
        </w:rPr>
        <w:t xml:space="preserve"> under Events &amp; Presentations, before the market open on Monday, May 11, 2026.</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replay of the call will be available beginning shortly after the end of the call by visiting the For Investors section of FSK’s website, under Events &amp; Presentations.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FS KKR Capital Corp.</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FSK is a leading publicly traded business development company (BDC) focused on providing customized credit solutions to private middle market U.S. companies. FSK seeks to invest primarily in the senior secured debt and, to a lesser extent, subordinated loans and certain asset-based financing loans of private U.S. companies. FSK is advised by FS/KKR Advisor, LLC. For more information, please visit </w:t>
      </w:r>
      <w:r>
        <w:rPr>
          <w:rFonts w:ascii="Times New Roman" w:cs="Times New Roman" w:eastAsia="Times New Roman" w:hAnsi="Times New Roman"/>
          <w:sz w:val="18"/>
          <w:szCs w:val="18"/>
          <w:u w:val="single" w:color="auto"/>
          <w:color w:val="auto"/>
        </w:rPr>
        <w:t>www.fskkrcapitalcorp.com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FS/KKR Advisor, LLC</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FS/KKR Advisor, LLC (FS/KKR) is a partnership between Future Standard and KKR Credit that serves as the investment adviser to FSK and other business development companies.</w:t>
      </w:r>
    </w:p>
    <w:p>
      <w:pPr>
        <w:spacing w:after="0" w:line="162" w:lineRule="exact"/>
        <w:rPr>
          <w:sz w:val="20"/>
          <w:szCs w:val="20"/>
          <w:color w:val="auto"/>
        </w:rPr>
      </w:pPr>
    </w:p>
    <w:p>
      <w:pPr>
        <w:jc w:val="both"/>
        <w:ind w:right="140"/>
        <w:spacing w:after="0" w:line="276" w:lineRule="auto"/>
        <w:rPr>
          <w:sz w:val="20"/>
          <w:szCs w:val="20"/>
          <w:color w:val="auto"/>
        </w:rPr>
      </w:pPr>
      <w:r>
        <w:rPr>
          <w:rFonts w:ascii="Times New Roman" w:cs="Times New Roman" w:eastAsia="Times New Roman" w:hAnsi="Times New Roman"/>
          <w:sz w:val="18"/>
          <w:szCs w:val="18"/>
          <w:color w:val="auto"/>
        </w:rPr>
        <w:t>Future Standard is a global alternative asset manager serving institutional and private wealth clients, investing across private equity, credit and real estate. With a 30+ year track record of value creation and over $93 billion in assets under management, we back the business owners and financial sponsors that drive growth and innovation across the middle market, transforming untapped potential into durable value</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KKR is a leading global investment firm that offers alternative asset management as well as capital markets and insurance solutions. KKR aims to generate attractive investment returns by following a patient and disciplined investment approach, employing world-class people, and supporting growth in its portfolio companies and communities. KKR sponsors investment funds that invest in private equity, credit and real assets and has strategic partners that manage hedge funds. KKR’s insurance subsidiaries offer retirement, life and reinsurance products under the management of Global Atlantic Financial Group. References to KKR’s investments may include the activities of its sponsored funds and insurance subsidiaries. For additional information about KKR &amp; Co. Inc. (NYSE: KKR), please visit KKR’s website at </w:t>
      </w:r>
      <w:r>
        <w:rPr>
          <w:rFonts w:ascii="Times New Roman" w:cs="Times New Roman" w:eastAsia="Times New Roman" w:hAnsi="Times New Roman"/>
          <w:sz w:val="18"/>
          <w:szCs w:val="18"/>
          <w:u w:val="single" w:color="auto"/>
          <w:color w:val="auto"/>
        </w:rPr>
        <w:t>www.kkr.com.</w:t>
      </w:r>
      <w:r>
        <w:rPr>
          <w:rFonts w:ascii="Times New Roman" w:cs="Times New Roman" w:eastAsia="Times New Roman" w:hAnsi="Times New Roman"/>
          <w:sz w:val="18"/>
          <w:szCs w:val="18"/>
          <w:color w:val="auto"/>
        </w:rPr>
        <w:t xml:space="preserve"> For additional information about Global Atlantic Financial Group, please visit Global Atlantic Financial Group’s website at </w:t>
      </w:r>
      <w:r>
        <w:rPr>
          <w:rFonts w:ascii="Times New Roman" w:cs="Times New Roman" w:eastAsia="Times New Roman" w:hAnsi="Times New Roman"/>
          <w:sz w:val="18"/>
          <w:szCs w:val="18"/>
          <w:u w:val="single" w:color="auto"/>
          <w:color w:val="auto"/>
        </w:rPr>
        <w:t>www.globalatlantic.com.</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Important Disclosure Notice</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and our quarterly earnings call contain certain forward-looking statements that are not historical facts, including, without limitation, statements with regard to future events or our future performance or financial condition, and statements regarding share repurchase activity, distribution levels and frequency, expectations regarding settlement of the Preferred Stock offering and FSK’s intended use of proceeds, expectations for net investment income levels in future quarters, and the financial position, business strategy and plans and objectives of management for FSK’s future operations. Words such as “anticipate,” “believe,” “expect,” and “intend” indicate a forward-looking statement, although not all forward-looking statements include these words. These forward-looking statements are not guarantees of performance and are subject to risks, uncertainties and other factors, some of which are beyond our control and difficult to predict and could cause our actual results to differ materially from those expressed or forecasted in the forward-looking statements for any reason, including those factors set forth in “Item 1A. Risk Factors” in our Annual Report on Form 10-K. These forward-looking statements are subject to the inherent uncertainties in predicting future results and conditions. Certain factors could cause actual results to differ materially from those projected in these forward-looking statements. Factors that could cause actual results to differ materially include, without limitation, changes in the economy, geo-political risks, risks associated with possible disruption in FSK’s operations or the economy generally due to terrorism, natural disasters or pandemics, future changes in laws or regulations and conditions in FSK’s operating area and the price at which shares of FSK’s common stock trade on the New York Stock Exchange. Some of these factors are enumerated in the filings FSK makes with the SEC. In addition, the FSK board-authorized share repurchase program does not require FSK to repurchase any specific number of shares of the FSK common stock. There is no assurance that FSK or any of its affiliates will purchase shares of its common stock at any specific discount levels or in any specific amounts or that the market price of FSK’s common stock, either absolutely or relative to net asset value, will increase as a result of any share repurchases, or that any repurchase plan will enhance stockholder value over the long term. These forward-looking statements are based on information available as of the date hereof and current expectations, forecasts and assumptions, and involve a number of judgments, risks and uncertainties. FSK has based the forward-looking statements included in this press release on information available to FSK on the date of this press release. Except as required by the federal securities laws, FSK undertakes no obligation to update or revise any forward-looking statements, whether as a result of new information, future events or otherwise. You should not place undue reliance on these forward-looking statements.</w:t>
      </w:r>
    </w:p>
    <w:p>
      <w:pPr>
        <w:spacing w:after="0" w:line="1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press release above contains summaries of certain financial and statistical information about FSK. The information contained in this press release is summary information that is intended to be considered in the context of FSK’s SEC filings and other public announcements that FSK may make, by press release or otherwise, from time to time. FSK undertakes no duty or obligation to update or revise the information contained in this press release. In addition, information related to past performance, while helpful as an evaluative tool, is not necessarily indicative of future results, the achievement of which cannot be assured. Investors should not view the past performance of FSK, or information about the market, as indicative of FSK’s future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in this press release is summary information only and should be read in conjunction with FSK’s quarterly report on Form 10-Q for the quarter ended March 31, 2026, which FSK filed with the SEC on May 11, 2026, as well as FSK’s other reports filed with the SEC. A copy of FSK’s quarterly report on Form 10-Q for the quarter ended March 31, 2026 and FSK’s other reports filed with the SEC can be found on FSK’s website at </w:t>
      </w:r>
      <w:r>
        <w:rPr>
          <w:rFonts w:ascii="Times New Roman" w:cs="Times New Roman" w:eastAsia="Times New Roman" w:hAnsi="Times New Roman"/>
          <w:sz w:val="18"/>
          <w:szCs w:val="18"/>
          <w:u w:val="single" w:color="auto"/>
          <w:color w:val="auto"/>
        </w:rPr>
        <w:t>www.fskkrcapitalcorp.com</w:t>
      </w:r>
      <w:r>
        <w:rPr>
          <w:rFonts w:ascii="Times New Roman" w:cs="Times New Roman" w:eastAsia="Times New Roman" w:hAnsi="Times New Roman"/>
          <w:sz w:val="18"/>
          <w:szCs w:val="18"/>
          <w:color w:val="auto"/>
        </w:rPr>
        <w:t xml:space="preserve"> and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0A2299"/>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About Distributions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determination of the tax attributes of FSK’s distributions is made annually as of the end of its fiscal year based upon its taxable income and distributions paid, in each case, for the full year. Therefore, a determination as to the tax attributes of the distributions made on a quarterly basis may not be representative of the actual tax attributes for a full year. FSK intends to update stockholders quarterly with an estimated percentage of its distributions that resulted from taxable ordinary income. The actual tax characteristics of distributions to stockholders will be reported to stockholders annually on Form 1099-DIV.</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and amount of any future distributions on FSK’s shares of common stock are subject to applicable legal restrictions and the sole discretion of its board of directors. There can be no assurance as to the amount or timing of any such future distributions.</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FSK may fund its distributions to stockholders from any sources of funds legally available to it, including net investment income from operations, capital gains proceeds from the sale of assets, non-capital gains proceeds from the sale of assets, dividends or other distributions paid to it on account of preferred and common equity investments in portfolio companies, proceeds from the sale of shares of FSK’s common stock and borrowings. FSK has not established limits on the amount of funds it may use from available sources to make distributions. There can be no assurance that FSK will be able to pay distributions at a specific rate or at all.</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millions, except per share amounts, unless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7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From non-controlled/unaffiliated investments: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and other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non-controlled/affiliated investments: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and other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From controlled/affiliated investments: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and other income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75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 income</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income incentive fees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services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and administrative fees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9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Realized and unrealized gain/loss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Non-controlled/unaffiliated investments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Non-controlled/affiliated investments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Controlled/affiliated investments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on foreign currency forward contracts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(loss) on foreign currency</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appreciation (depreciation) on investments: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Non-controlled/unaffiliated investments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Non-controlled/affiliated investments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Controlled/affiliated investments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appreciation (depreciation) on foreign currency forward contracts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gain (loss) on foreign currency</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7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net realized and unrealized gain (loss)</w:t>
            </w:r>
          </w:p>
        </w:tc>
        <w:tc>
          <w:tcPr>
            <w:tcW w:w="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information—basic and diluted</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 (Earnings (Losses) per Share)</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(1.57)</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196"/>
        </w:trPr>
        <w:tc>
          <w:tcPr>
            <w:tcW w:w="75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280,066,433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280,066,433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54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millions, except per share amounts, unless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Non-controlled/unaffiliated investments (amortized cost—$8,238 and $8,406,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Non-controlled/affiliated investments (amortized cost—$739 and $929, respectively)</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Controlled/affiliated investments (amortized cost—$4,401 and $4,406, respectively)</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investments, at fair value (amortized cost—$13,378 and $13,741, respectively)</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at fair value (cost—$5 and $27, respectively)</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Receivable for investments sold and repaid</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receivable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Unrealized appreciation on foreign currency forward contracts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Debt (net of deferred financing costs and discount of $42 and $45, respectively)</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depreciation on foreign currency forward contracts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distributions payable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 payable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income incentive fees payable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services expense payable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$0.001 par value, 50,000,000 shares authorized, none issued and outstanding</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750,000,000 shares authorized, 280,066,433 and 280,066,433 shares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9,199</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asset value per share of common stock at period end</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20.89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press release contains certain financial measures that have not been prepared in accordance with generally accepted accounting principles in the United States (GAAP). FSK uses these non-GAAP financial measures internally in analyzing financial results and believes that the use of these non-GAAP financial measures is useful to investors as an additional tool to evaluate ongoing results and trends and in comparing FSK’s financial results with other BDCs.</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comparable GAAP financial measures, and should be read only in conjunction with FSK’s consolidated financial statements prepared in accordance with GAAP. A reconciliation of non-GAAP financial measures to the most directly comparable GAAP measures has been provided in this press release, and investors are encouraged to review the reconciliation.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r>
              <w:rPr>
                <w:rFonts w:ascii="Times New Roman" w:cs="Times New Roman" w:eastAsia="Times New Roman" w:hAnsi="Times New Roman"/>
                <w:sz w:val="29"/>
                <w:szCs w:val="29"/>
                <w:b w:val="1"/>
                <w:bCs w:val="1"/>
                <w:color w:val="auto"/>
                <w:vertAlign w:val="superscript"/>
              </w:rPr>
              <w:t>(1)</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3"/>
        </w:trPr>
        <w:tc>
          <w:tcPr>
            <w:tcW w:w="5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investment income per share</w:t>
            </w:r>
          </w:p>
        </w:tc>
        <w:tc>
          <w:tcPr>
            <w:tcW w:w="1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Accretion resulting from merger accounting</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96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56"/>
        </w:trPr>
        <w:tc>
          <w:tcPr>
            <w:tcW w:w="580" w:type="dxa"/>
            <w:vAlign w:val="bottom"/>
          </w:tcPr>
          <w:p>
            <w:pPr>
              <w:spacing w:after="0"/>
              <w:rPr>
                <w:sz w:val="22"/>
                <w:szCs w:val="22"/>
                <w:color w:val="auto"/>
              </w:rPr>
            </w:pPr>
          </w:p>
        </w:tc>
        <w:tc>
          <w:tcPr>
            <w:tcW w:w="52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Adjusted net investment income per share</w:t>
            </w:r>
            <w:r>
              <w:rPr>
                <w:rFonts w:ascii="Times New Roman" w:cs="Times New Roman" w:eastAsia="Times New Roman" w:hAnsi="Times New Roman"/>
                <w:sz w:val="29"/>
                <w:szCs w:val="29"/>
                <w:color w:val="auto"/>
                <w:vertAlign w:val="superscript"/>
              </w:rPr>
              <w:t>(2)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0.41</w:t>
            </w:r>
          </w:p>
        </w:tc>
        <w:tc>
          <w:tcPr>
            <w:tcW w:w="96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r>
      <w:tr>
        <w:trPr>
          <w:trHeight w:val="216"/>
        </w:trPr>
        <w:tc>
          <w:tcPr>
            <w:tcW w:w="5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realized and unrealized gain (loss) per share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5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Unrealized appreciation from merger accounting</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96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57"/>
        </w:trPr>
        <w:tc>
          <w:tcPr>
            <w:tcW w:w="580" w:type="dxa"/>
            <w:vAlign w:val="bottom"/>
          </w:tcPr>
          <w:p>
            <w:pPr>
              <w:spacing w:after="0"/>
              <w:rPr>
                <w:sz w:val="22"/>
                <w:szCs w:val="22"/>
                <w:color w:val="auto"/>
              </w:rPr>
            </w:pPr>
          </w:p>
        </w:tc>
        <w:tc>
          <w:tcPr>
            <w:tcW w:w="5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net realized and unrealized gain (loss)</w:t>
            </w:r>
            <w:r>
              <w:rPr>
                <w:rFonts w:ascii="Times New Roman" w:cs="Times New Roman" w:eastAsia="Times New Roman" w:hAnsi="Times New Roman"/>
                <w:sz w:val="29"/>
                <w:szCs w:val="29"/>
                <w:color w:val="auto"/>
                <w:vertAlign w:val="superscript"/>
              </w:rPr>
              <w:t>(2)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(0.88)</w:t>
            </w:r>
          </w:p>
        </w:tc>
      </w:tr>
    </w:tbl>
    <w:p>
      <w:pPr>
        <w:spacing w:after="0" w:line="198" w:lineRule="exact"/>
        <w:rPr>
          <w:sz w:val="20"/>
          <w:szCs w:val="20"/>
          <w:color w:val="auto"/>
        </w:rPr>
      </w:pPr>
    </w:p>
    <w:p>
      <w:pPr>
        <w:ind w:left="340" w:right="100" w:hanging="332"/>
        <w:spacing w:after="0" w:line="26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data was derived by using the weighted average shares of FSK’s common stock outstanding during the applicable period. Per share numbers may not sum due to rounding.</w:t>
      </w:r>
    </w:p>
    <w:p>
      <w:pPr>
        <w:ind w:lef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is a non-GAAP financial measure. Adjusted net investment income is presented for all periods as GAAP net investment income excluding (i) the accrual for the capital gains incentive fee for realized and unrealized gains; (ii) excise taxes (iii) the impact of accretion resulting from merger accounting; and (iv) certain non-recurring operating expenses that are one-time in nature and are not representative of ongoing operating expenses incurred during FSK’s normal course of business. FSK uses this non-GAAP financial measure internally in analyzing financial results and believes that the use of this non-GAAP financial measure is useful to investors as an additional tool to evaluate ongoing results and trends and in comparing its financial results with other business development companies. Adjusted net realized and unrealized gain is a non-GAAP financial measure. Adjusted net realized and unrealized gain is presented for all periods as GAAP realized and unrealized gains to exclude the impact of the merger accounting. The presentation of this additional information is not meant to be considered in isolation or as a substitute for financial results prepared in accordance with GAAP. A reconciliation of GAAP net investment income to adjusted net investment income and GAAP net realized and unrealized gain to adjusted net realized and unrealized gain can be found above.</w:t>
      </w:r>
    </w:p>
    <w:p>
      <w:pPr>
        <w:spacing w:after="0" w:line="3" w:lineRule="exact"/>
        <w:rPr>
          <w:rFonts w:ascii="Times New Roman" w:cs="Times New Roman" w:eastAsia="Times New Roman" w:hAnsi="Times New Roman"/>
          <w:sz w:val="18"/>
          <w:szCs w:val="18"/>
          <w:color w:val="auto"/>
        </w:rPr>
      </w:pPr>
    </w:p>
    <w:p>
      <w:pPr>
        <w:ind w:left="340" w:right="3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to equity ratio is debt outstanding, net of cash and foreign currency and net payable/receivable for investments purchased/sold and repaid, divided by net assets.</w:t>
      </w:r>
    </w:p>
    <w:p>
      <w:pPr>
        <w:ind w:left="340" w:right="46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for distributions reflects the amount of distributions paid per share of our common stock to stockholders of record during each applicable period.</w:t>
      </w:r>
    </w:p>
    <w:p>
      <w:pPr>
        <w:ind w:left="340" w:right="460" w:hanging="332"/>
        <w:spacing w:after="0" w:line="265" w:lineRule="auto"/>
        <w:tabs>
          <w:tab w:leader="none" w:pos="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FSK’s quarterly report on Form 10-Q for the quarter ended March 31, 2026 for important information, including information related to the calculation and definition of weighted average annual yield on accruing debt investments, weighted average annual yield on all debt investments, variable rate debt investments, fixed rate debt investments, other income producing investments and non-income producing investments.</w:t>
      </w:r>
    </w:p>
    <w:p>
      <w:pPr>
        <w:ind w:left="340" w:right="30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recorded on an accrual basis. See FSK’s quarterly report on Form 10-Q for the quarter ended March 31, 2026 for a description of FSK’s revenue recognition policy.</w:t>
      </w: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investments on non-accrual status.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is the cash collateral required to be posted pursuant to the Company’s derivative contracts.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340" w:hanging="332"/>
        <w:spacing w:after="0" w:line="253"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AUM estimated as of December 31, 2025. References to “assets under management” or “AUM” represent the assets managed by Future Standard or its strategic partners as to which Future Standard is entitled to receive a fee or carried interest (either currently or upon deployment of capital) and general partner capital. Future Standard calculates the amount of AUM as of any date as the sum of: (i) the fair value of the investments of Future Standard’s investment funds; (ii) uncalled investor capital commitments to these funds, including uncalled investor capital commitments from which Future Standard is currently not earning management fees or carried interest; (iii) the value of outstanding CLOs (excluding CLOs wholly-owned by Future Standard); (iv) the fair value of FS KKR Capital Corp. joint venture (JV) assets and (v) the fair value of other assets managed by Future Standard. Future Standard’s calculation of AUM may differ from the calculations of other asset managers and, as a result, Future Standard’s measurements of its AUM may not be comparable to similar measures presented by other asset managers. Future Standard’s definition of AUM is not based on any definition of AUM that may be set forth in agreements governing the investment funds, vehicles or accounts that it manages and is not calculated pursuant to any regulatory definitions.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Welch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Caitlin.Welch@futurestandard.com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Standard Media Team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Hazelton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Marc.Hazelton@futurestandard.com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Roman"/>
      <w:start w:val="2"/>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upperLetter"/>
      <w:start w:val="1"/>
    </w:lvl>
  </w:abstractNum>
  <w:abstractNum w:abstractNumId="7">
    <w:nsid w:val="66EF438D"/>
    <w:multiLevelType w:val="hybridMultilevel"/>
    <w:lvl w:ilvl="0">
      <w:lvlJc w:val="left"/>
      <w:lvlText w:val="(%1)"/>
      <w:numFmt w:val="upperLetter"/>
      <w:start w:val="3"/>
    </w:lvl>
  </w:abstractNum>
  <w:abstractNum w:abstractNumId="8">
    <w:nsid w:val="140E0F76"/>
    <w:multiLevelType w:val="hybridMultilevel"/>
    <w:lvl w:ilvl="0">
      <w:lvlJc w:val="left"/>
      <w:lvlText w:val="(%1)"/>
      <w:numFmt w:val="upperLetter"/>
      <w:start w:val="1"/>
    </w:lvl>
  </w:abstractNum>
  <w:abstractNum w:abstractNumId="9">
    <w:nsid w:val="3352255A"/>
    <w:multiLevelType w:val="hybridMultilevel"/>
    <w:lvl w:ilvl="0">
      <w:lvlJc w:val="left"/>
      <w:lvlText w:val="·"/>
      <w:numFmt w:val="bullet"/>
      <w:start w:val="1"/>
    </w:lvl>
    <w:lvl w:ilvl="1">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2026-05-11T06:01:35Z</dcterms:created>
  <dcterms:modified xsi:type="dcterms:W3CDTF">2026-05-11T06:01:35Z</dcterms:modified>
</cp:coreProperties>
</file>