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November 20,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245110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FS KKR Capital Corp.</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040" w:type="dxa"/>
        <w:tblCellMar>
          <w:top w:w="0" w:type="dxa"/>
          <w:left w:w="0" w:type="dxa"/>
          <w:bottom w:w="0" w:type="dxa"/>
          <w:right w:w="0" w:type="dxa"/>
        </w:tblCellMar>
      </w:tblPr>
      <w:tr>
        <w:trPr>
          <w:trHeight w:val="214"/>
        </w:trPr>
        <w:tc>
          <w:tcPr>
            <w:tcW w:w="4000" w:type="dxa"/>
            <w:vAlign w:val="bottom"/>
          </w:tcPr>
          <w:p>
            <w:pPr>
              <w:jc w:val="center"/>
              <w:ind w:right="2259"/>
              <w:spacing w:after="0"/>
              <w:rPr>
                <w:sz w:val="20"/>
                <w:szCs w:val="20"/>
                <w:color w:val="auto"/>
              </w:rPr>
            </w:pPr>
            <w:r>
              <w:rPr>
                <w:rFonts w:ascii="Times New Roman" w:cs="Times New Roman" w:eastAsia="Times New Roman" w:hAnsi="Times New Roman"/>
                <w:sz w:val="18"/>
                <w:szCs w:val="18"/>
                <w:b w:val="1"/>
                <w:bCs w:val="1"/>
                <w:color w:val="auto"/>
              </w:rPr>
              <w:t>Maryland</w:t>
            </w:r>
          </w:p>
        </w:tc>
        <w:tc>
          <w:tcPr>
            <w:tcW w:w="232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814-00757</w:t>
            </w:r>
          </w:p>
        </w:tc>
        <w:tc>
          <w:tcPr>
            <w:tcW w:w="2460" w:type="dxa"/>
            <w:vAlign w:val="bottom"/>
          </w:tcPr>
          <w:p>
            <w:pPr>
              <w:jc w:val="right"/>
              <w:ind w:right="61"/>
              <w:spacing w:after="0"/>
              <w:rPr>
                <w:sz w:val="20"/>
                <w:szCs w:val="20"/>
                <w:color w:val="auto"/>
              </w:rPr>
            </w:pPr>
            <w:r>
              <w:rPr>
                <w:rFonts w:ascii="Times New Roman" w:cs="Times New Roman" w:eastAsia="Times New Roman" w:hAnsi="Times New Roman"/>
                <w:sz w:val="18"/>
                <w:szCs w:val="18"/>
                <w:b w:val="1"/>
                <w:bCs w:val="1"/>
                <w:color w:val="auto"/>
              </w:rPr>
              <w:t>26-1630040</w:t>
            </w:r>
          </w:p>
        </w:tc>
      </w:tr>
      <w:tr>
        <w:trPr>
          <w:trHeight w:val="149"/>
        </w:trPr>
        <w:tc>
          <w:tcPr>
            <w:tcW w:w="4000" w:type="dxa"/>
            <w:vAlign w:val="bottom"/>
          </w:tcPr>
          <w:p>
            <w:pPr>
              <w:jc w:val="center"/>
              <w:ind w:right="227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320" w:type="dxa"/>
            <w:vAlign w:val="bottom"/>
          </w:tcPr>
          <w:p>
            <w:pPr>
              <w:ind w:left="1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460" w:type="dxa"/>
            <w:vAlign w:val="bottom"/>
          </w:tcPr>
          <w:p>
            <w:pPr>
              <w:jc w:val="center"/>
              <w:ind w:left="124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4000" w:type="dxa"/>
            <w:vAlign w:val="bottom"/>
          </w:tcPr>
          <w:p>
            <w:pPr>
              <w:jc w:val="center"/>
              <w:ind w:right="225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32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4000" w:type="dxa"/>
            <w:vAlign w:val="bottom"/>
          </w:tcPr>
          <w:p>
            <w:pPr>
              <w:jc w:val="center"/>
              <w:ind w:left="1219"/>
              <w:spacing w:after="0"/>
              <w:rPr>
                <w:sz w:val="20"/>
                <w:szCs w:val="20"/>
                <w:color w:val="auto"/>
              </w:rPr>
            </w:pPr>
            <w:r>
              <w:rPr>
                <w:rFonts w:ascii="Times New Roman" w:cs="Times New Roman" w:eastAsia="Times New Roman" w:hAnsi="Times New Roman"/>
                <w:sz w:val="18"/>
                <w:szCs w:val="18"/>
                <w:b w:val="1"/>
                <w:bCs w:val="1"/>
                <w:color w:val="auto"/>
                <w:w w:val="99"/>
              </w:rPr>
              <w:t>201 Rouse Boulevard</w:t>
            </w:r>
          </w:p>
        </w:tc>
        <w:tc>
          <w:tcPr>
            <w:tcW w:w="232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27"/>
        </w:trPr>
        <w:tc>
          <w:tcPr>
            <w:tcW w:w="4000" w:type="dxa"/>
            <w:vAlign w:val="bottom"/>
          </w:tcPr>
          <w:p>
            <w:pPr>
              <w:jc w:val="center"/>
              <w:ind w:left="1199"/>
              <w:spacing w:after="0"/>
              <w:rPr>
                <w:sz w:val="20"/>
                <w:szCs w:val="20"/>
                <w:color w:val="auto"/>
              </w:rPr>
            </w:pPr>
            <w:r>
              <w:rPr>
                <w:rFonts w:ascii="Times New Roman" w:cs="Times New Roman" w:eastAsia="Times New Roman" w:hAnsi="Times New Roman"/>
                <w:sz w:val="18"/>
                <w:szCs w:val="18"/>
                <w:b w:val="1"/>
                <w:bCs w:val="1"/>
                <w:color w:val="auto"/>
                <w:w w:val="99"/>
              </w:rPr>
              <w:t>Philadelphia, Pennsylvania</w:t>
            </w:r>
          </w:p>
        </w:tc>
        <w:tc>
          <w:tcPr>
            <w:tcW w:w="2320" w:type="dxa"/>
            <w:vAlign w:val="bottom"/>
          </w:tcPr>
          <w:p>
            <w:pPr>
              <w:spacing w:after="0"/>
              <w:rPr>
                <w:sz w:val="19"/>
                <w:szCs w:val="19"/>
                <w:color w:val="auto"/>
              </w:rPr>
            </w:pPr>
          </w:p>
        </w:tc>
        <w:tc>
          <w:tcPr>
            <w:tcW w:w="2460" w:type="dxa"/>
            <w:vAlign w:val="bottom"/>
          </w:tcPr>
          <w:p>
            <w:pPr>
              <w:jc w:val="right"/>
              <w:ind w:right="261"/>
              <w:spacing w:after="0"/>
              <w:rPr>
                <w:sz w:val="20"/>
                <w:szCs w:val="20"/>
                <w:color w:val="auto"/>
              </w:rPr>
            </w:pPr>
            <w:r>
              <w:rPr>
                <w:rFonts w:ascii="Times New Roman" w:cs="Times New Roman" w:eastAsia="Times New Roman" w:hAnsi="Times New Roman"/>
                <w:sz w:val="18"/>
                <w:szCs w:val="18"/>
                <w:b w:val="1"/>
                <w:bCs w:val="1"/>
                <w:color w:val="auto"/>
              </w:rPr>
              <w:t>19112</w:t>
            </w:r>
          </w:p>
        </w:tc>
      </w:tr>
      <w:tr>
        <w:trPr>
          <w:trHeight w:val="190"/>
        </w:trPr>
        <w:tc>
          <w:tcPr>
            <w:tcW w:w="4000" w:type="dxa"/>
            <w:vAlign w:val="bottom"/>
          </w:tcPr>
          <w:p>
            <w:pPr>
              <w:jc w:val="center"/>
              <w:ind w:left="121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320" w:type="dxa"/>
            <w:vAlign w:val="bottom"/>
          </w:tcPr>
          <w:p>
            <w:pPr>
              <w:spacing w:after="0"/>
              <w:rPr>
                <w:sz w:val="16"/>
                <w:szCs w:val="16"/>
                <w:color w:val="auto"/>
              </w:rPr>
            </w:pPr>
          </w:p>
        </w:tc>
        <w:tc>
          <w:tcPr>
            <w:tcW w:w="2460" w:type="dxa"/>
            <w:vAlign w:val="bottom"/>
          </w:tcPr>
          <w:p>
            <w:pPr>
              <w:jc w:val="center"/>
              <w:ind w:left="124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7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(215) 495-1150</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960" w:hanging="532"/>
        <w:spacing w:after="0"/>
        <w:tabs>
          <w:tab w:leader="none" w:pos="9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3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32"/>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FSK</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New York Stock Exchange</w:t>
            </w:r>
          </w:p>
        </w:tc>
        <w:tc>
          <w:tcPr>
            <w:tcW w:w="0" w:type="dxa"/>
            <w:vAlign w:val="bottom"/>
          </w:tcPr>
          <w:p>
            <w:pPr>
              <w:spacing w:after="0"/>
              <w:rPr>
                <w:sz w:val="1"/>
                <w:szCs w:val="1"/>
                <w:color w:val="auto"/>
              </w:rPr>
            </w:pPr>
          </w:p>
        </w:tc>
      </w:tr>
    </w:tbl>
    <w:p>
      <w:pPr>
        <w:spacing w:after="0" w:line="175"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0"/>
          </w:cols>
          <w:pgMar w:left="440" w:top="376" w:right="439" w:bottom="1440" w:gutter="0" w:footer="0" w:header="0"/>
        </w:sectPr>
      </w:pPr>
    </w:p>
    <w:bookmarkStart w:id="1" w:name="page2"/>
    <w:bookmarkEnd w:id="1"/>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ind w:right="40" w:firstLine="440"/>
        <w:spacing w:after="0" w:line="258" w:lineRule="auto"/>
        <w:rPr>
          <w:sz w:val="20"/>
          <w:szCs w:val="20"/>
          <w:color w:val="auto"/>
        </w:rPr>
      </w:pPr>
      <w:r>
        <w:rPr>
          <w:rFonts w:ascii="Times New Roman" w:cs="Times New Roman" w:eastAsia="Times New Roman" w:hAnsi="Times New Roman"/>
          <w:sz w:val="18"/>
          <w:szCs w:val="18"/>
          <w:color w:val="auto"/>
        </w:rPr>
        <w:t>On November 20, 2024, FS KKR Capital Corp. (the “Company”) and U.S. Bank Trust Company, National Association (as successor-in-interest to U.S. Bank National Association) (the “Trustee”), entered into a Fourteenth Supplemental Indenture (the “Fourteenth Supplemental Indenture”) to the Indenture, dated July 14, 2014, between the Company and the Trustee (the “Base Indenture”; and together with the Fourteenth Supplemental Indenture, the “Indenture”). The Fourteenth Supplemental Indenture relates to the Company’s issuance of $600,000,000 aggregate principal amount of its 6.125% notes due 2030 (the “Notes”).</w:t>
      </w:r>
    </w:p>
    <w:p>
      <w:pPr>
        <w:spacing w:after="0" w:line="183" w:lineRule="exact"/>
        <w:rPr>
          <w:sz w:val="20"/>
          <w:szCs w:val="20"/>
          <w:color w:val="auto"/>
        </w:rPr>
      </w:pPr>
    </w:p>
    <w:p>
      <w:pPr>
        <w:ind w:firstLine="440"/>
        <w:spacing w:after="0" w:line="273" w:lineRule="auto"/>
        <w:rPr>
          <w:sz w:val="20"/>
          <w:szCs w:val="20"/>
          <w:color w:val="auto"/>
        </w:rPr>
      </w:pPr>
      <w:r>
        <w:rPr>
          <w:rFonts w:ascii="Times New Roman" w:cs="Times New Roman" w:eastAsia="Times New Roman" w:hAnsi="Times New Roman"/>
          <w:sz w:val="17"/>
          <w:szCs w:val="17"/>
          <w:color w:val="auto"/>
        </w:rPr>
        <w:t xml:space="preserve">The Notes will mature on January 15, 2030 and may be redeemed in whole or in part at the Company’s option at any time or from time to time at the redemption prices set forth in the Indenture. The Notes bear interest at a rate of 6.125% per year payable semi-annually in arrears on January 15 and July 15 of each year, beginning on July 15, 2025. The Notes are general unsecured obligations of the Company that rank senior in right of payment to all of the Company’s existing and future indebtedness that is expressly subordinated in right of payment to the Notes, rank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xml:space="preserve"> with all existing and future unsecured unsubordinated indebtedness issued by the Company, rank effectively junior to any of the Company’s secured indebtedness (including unsecured indebtedness that the Company later secures) to the extent of the value of the assets securing such indebtedness, and rank structurally junior to all existing and future indebtedness (including trade payables) incurred by the Company’s subsidiaries, financing vehicles or similar facilities.</w:t>
      </w:r>
    </w:p>
    <w:p>
      <w:pPr>
        <w:spacing w:after="0" w:line="171" w:lineRule="exact"/>
        <w:rPr>
          <w:sz w:val="20"/>
          <w:szCs w:val="20"/>
          <w:color w:val="auto"/>
        </w:rPr>
      </w:pPr>
    </w:p>
    <w:p>
      <w:pPr>
        <w:ind w:right="180" w:firstLine="440"/>
        <w:spacing w:after="0" w:line="258" w:lineRule="auto"/>
        <w:rPr>
          <w:sz w:val="20"/>
          <w:szCs w:val="20"/>
          <w:color w:val="auto"/>
        </w:rPr>
      </w:pPr>
      <w:r>
        <w:rPr>
          <w:rFonts w:ascii="Times New Roman" w:cs="Times New Roman" w:eastAsia="Times New Roman" w:hAnsi="Times New Roman"/>
          <w:sz w:val="18"/>
          <w:szCs w:val="18"/>
          <w:color w:val="auto"/>
        </w:rPr>
        <w:t>The Indenture contains certain covenants, including covenants requiring the Company to comply with the asset coverage requirements of Section 18(a)(1)(A) as modified by Section 61(a)(1) and (2) of the Investment Company Act of 1940, as amended, whether or not it is subject to those requirements, and to provide financial information to the holders of the Notes and the Trustee if the Company is no longer subject to the reporting requirements under the Securities Exchange Act of 1934, as amended. These covenants are subject to important limitations and exceptions that are described in the Indenture.</w:t>
      </w:r>
    </w:p>
    <w:p>
      <w:pPr>
        <w:spacing w:after="0" w:line="183" w:lineRule="exact"/>
        <w:rPr>
          <w:sz w:val="20"/>
          <w:szCs w:val="20"/>
          <w:color w:val="auto"/>
        </w:rPr>
      </w:pPr>
    </w:p>
    <w:p>
      <w:pPr>
        <w:jc w:val="both"/>
        <w:ind w:right="160" w:firstLine="440"/>
        <w:spacing w:after="0" w:line="266" w:lineRule="auto"/>
        <w:rPr>
          <w:sz w:val="20"/>
          <w:szCs w:val="20"/>
          <w:color w:val="auto"/>
        </w:rPr>
      </w:pPr>
      <w:r>
        <w:rPr>
          <w:rFonts w:ascii="Times New Roman" w:cs="Times New Roman" w:eastAsia="Times New Roman" w:hAnsi="Times New Roman"/>
          <w:sz w:val="18"/>
          <w:szCs w:val="18"/>
          <w:color w:val="auto"/>
        </w:rPr>
        <w:t>In addition, on the occurrence of a “change of control repurchase event,” as defined in the Indenture, the Company will generally be required to make an offer to purchase the outstanding Notes at a price equal to 100% of the principal amount of such Notes plus accrued and unpaid interest to the repurchase date.</w:t>
      </w:r>
    </w:p>
    <w:p>
      <w:pPr>
        <w:spacing w:after="0" w:line="176"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The Notes were offered and sold in an offering registered under the Securities Act of 1933, as amended, pursuant to the Registration Statement on Form N-2 (File No. 333-282226) (the “Registration Statement”), the prospectus supplement dated November 13, 2024 and the pricing term sheet filed with the U.S. Securities and Exchange Commission on November 14, 2024. The transaction closed on November 20, 2024. The net proceeds to the Company were approximately $590.9 million, after deducting the underwriting discounts and commissions of $6.0 million payable by the Company and estimated offering expenses of approximately $1.2 million payable by the Company. The Company intends to use the net proceeds for general corporate purposes, including potentially repaying outstanding indebtedness under its credit facilities and certain notes.</w:t>
      </w:r>
    </w:p>
    <w:p>
      <w:pPr>
        <w:spacing w:after="0" w:line="187"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The foregoing descriptions of the Fourteenth Supplemental Indenture and the Notes do not purport to be complete and are qualified in their entirety by reference to the full text of the Fourteenth Supplemental Indenture and the Notes, respectively, each filed as exhibits hereto and incorporated by reference herein.</w:t>
      </w:r>
    </w:p>
    <w:p>
      <w:pPr>
        <w:spacing w:after="0" w:line="320" w:lineRule="exact"/>
        <w:rPr>
          <w:sz w:val="20"/>
          <w:szCs w:val="20"/>
          <w:color w:val="auto"/>
        </w:rPr>
      </w:pPr>
    </w:p>
    <w:p>
      <w:pPr>
        <w:jc w:val="both"/>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8"/>
          <w:szCs w:val="18"/>
          <w:b w:val="1"/>
          <w:bCs w:val="1"/>
          <w:color w:val="auto"/>
        </w:rPr>
        <w:t>Creation of a Direct Financial Obligation or an Obligation under an Off-Balance Sheet Arrangement of a Registrant.</w:t>
      </w:r>
    </w:p>
    <w:p>
      <w:pPr>
        <w:spacing w:after="0" w:line="121" w:lineRule="exact"/>
        <w:rPr>
          <w:sz w:val="20"/>
          <w:szCs w:val="20"/>
          <w:color w:val="auto"/>
        </w:rPr>
      </w:pPr>
    </w:p>
    <w:p>
      <w:pPr>
        <w:jc w:val="right"/>
        <w:ind w:right="920"/>
        <w:spacing w:after="0"/>
        <w:rPr>
          <w:sz w:val="20"/>
          <w:szCs w:val="20"/>
          <w:color w:val="auto"/>
        </w:rPr>
      </w:pPr>
      <w:r>
        <w:rPr>
          <w:rFonts w:ascii="Times New Roman" w:cs="Times New Roman" w:eastAsia="Times New Roman" w:hAnsi="Times New Roman"/>
          <w:sz w:val="18"/>
          <w:szCs w:val="18"/>
          <w:color w:val="auto"/>
        </w:rPr>
        <w:t>The information required by Item 2.03 contained in Item 1.01 of this Current Report on Form 8-K is incorporated herein by reference.</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8"/>
          <w:szCs w:val="18"/>
          <w:b w:val="1"/>
          <w:bCs w:val="1"/>
          <w:color w:val="auto"/>
        </w:rPr>
        <w:t>Regulation FD Disclosure.</w:t>
      </w:r>
    </w:p>
    <w:p>
      <w:pPr>
        <w:spacing w:after="0" w:line="1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On November 20, 2024, the Company issued a press release, a copy of which is attached hereto as Exhibit 99.1.</w:t>
      </w:r>
    </w:p>
    <w:p>
      <w:pPr>
        <w:spacing w:after="0" w:line="225"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The information in this Item 7.01, including Exhibit 99.1 and the information set forth therein, is deemed to have been furnished to, and shall not be deemed to be “filed” with, the U.S. Securities and Exchange Commission. </w:t>
      </w:r>
    </w:p>
    <w:p>
      <w:pPr>
        <w:sectPr>
          <w:pgSz w:w="11900" w:h="16838" w:orient="portrait"/>
          <w:cols w:equalWidth="0" w:num="1">
            <w:col w:w="11000"/>
          </w:cols>
          <w:pgMar w:left="440" w:top="293" w:right="459" w:bottom="1440" w:gutter="0" w:footer="0" w:header="0"/>
        </w:sectPr>
      </w:pPr>
    </w:p>
    <w:bookmarkStart w:id="2" w:name="page3"/>
    <w:bookmarkEnd w:id="2"/>
    <w:p>
      <w:pPr>
        <w:spacing w:after="0"/>
        <w:tabs>
          <w:tab w:leader="none" w:pos="1060" w:val="left"/>
        </w:tabs>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3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(d) Exhibits</w:t>
      </w:r>
    </w:p>
    <w:p>
      <w:pPr>
        <w:sectPr>
          <w:pgSz w:w="11900" w:h="16838" w:orient="portrait"/>
          <w:cols w:equalWidth="0" w:num="1">
            <w:col w:w="10960"/>
          </w:cols>
          <w:pgMar w:left="440" w:top="293" w:right="499" w:bottom="1440" w:gutter="0" w:footer="0" w:header="0"/>
        </w:sectPr>
      </w:pPr>
    </w:p>
    <w:p>
      <w:pPr>
        <w:spacing w:after="0" w:line="246" w:lineRule="exact"/>
        <w:rPr>
          <w:sz w:val="20"/>
          <w:szCs w:val="20"/>
          <w:color w:val="auto"/>
        </w:rPr>
      </w:pPr>
    </w:p>
    <w:p>
      <w:pPr>
        <w:ind w:firstLine="12"/>
        <w:spacing w:after="0" w:line="264" w:lineRule="auto"/>
        <w:rPr>
          <w:sz w:val="20"/>
          <w:szCs w:val="20"/>
          <w:color w:val="auto"/>
        </w:rPr>
      </w:pPr>
      <w:r>
        <w:rPr>
          <w:rFonts w:ascii="Times New Roman" w:cs="Times New Roman" w:eastAsia="Times New Roman" w:hAnsi="Times New Roman"/>
          <w:sz w:val="14"/>
          <w:szCs w:val="14"/>
          <w:b w:val="1"/>
          <w:bCs w:val="1"/>
          <w:color w:val="auto"/>
        </w:rPr>
        <w:t xml:space="preserve">EXHIBIT </w:t>
      </w:r>
      <w:r>
        <w:rPr>
          <w:rFonts w:ascii="Times New Roman" w:cs="Times New Roman" w:eastAsia="Times New Roman" w:hAnsi="Times New Roman"/>
          <w:sz w:val="14"/>
          <w:szCs w:val="14"/>
          <w:b w:val="1"/>
          <w:bCs w:val="1"/>
          <w:u w:val="single" w:color="auto"/>
          <w:color w:val="auto"/>
        </w:rPr>
        <w:t>NUMBER</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4.1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u w:val="single" w:color="auto"/>
          <w:color w:val="auto"/>
        </w:rPr>
        <w:t>DESCRIPTION</w:t>
      </w:r>
    </w:p>
    <w:p>
      <w:pPr>
        <w:spacing w:after="0" w:line="115" w:lineRule="exact"/>
        <w:rPr>
          <w:sz w:val="20"/>
          <w:szCs w:val="20"/>
          <w:color w:val="auto"/>
        </w:rPr>
      </w:pPr>
    </w:p>
    <w:p>
      <w:pPr>
        <w:spacing w:after="0" w:line="312" w:lineRule="auto"/>
        <w:rPr>
          <w:sz w:val="20"/>
          <w:szCs w:val="20"/>
          <w:color w:val="auto"/>
        </w:rPr>
      </w:pPr>
      <w:r>
        <w:rPr>
          <w:rFonts w:ascii="Times New Roman" w:cs="Times New Roman" w:eastAsia="Times New Roman" w:hAnsi="Times New Roman"/>
          <w:sz w:val="17"/>
          <w:szCs w:val="17"/>
          <w:u w:val="single" w:color="auto"/>
          <w:color w:val="0000EE"/>
        </w:rPr>
        <w:t>Fourteenth Supplemental Indenture, dated as of November 20, 2024, relating to the 6.125% Notes due 2030, by and between the Company and U.S. Bank Trust Company National Association (as successor-in-interest to U.S. Bank National Association), as trustee.</w:t>
      </w:r>
    </w:p>
    <w:p>
      <w:pPr>
        <w:spacing w:after="0" w:line="19" w:lineRule="exact"/>
        <w:rPr>
          <w:sz w:val="20"/>
          <w:szCs w:val="20"/>
          <w:color w:val="auto"/>
        </w:rPr>
      </w:pPr>
    </w:p>
    <w:p>
      <w:pPr>
        <w:sectPr>
          <w:pgSz w:w="11900" w:h="16838" w:orient="portrait"/>
          <w:cols w:equalWidth="0" w:num="2">
            <w:col w:w="640" w:space="620"/>
            <w:col w:w="9700"/>
          </w:cols>
          <w:pgMar w:left="440" w:top="293" w:right="49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  4.2</w:t>
            </w:r>
          </w:p>
        </w:tc>
        <w:tc>
          <w:tcPr>
            <w:tcW w:w="60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Form of 6.125% Notes due 2030. (</w:t>
            </w:r>
            <w:r>
              <w:rPr>
                <w:rFonts w:ascii="Times New Roman" w:cs="Times New Roman" w:eastAsia="Times New Roman" w:hAnsi="Times New Roman"/>
                <w:sz w:val="18"/>
                <w:szCs w:val="18"/>
                <w:i w:val="1"/>
                <w:iCs w:val="1"/>
                <w:color w:val="0000EE"/>
                <w:w w:val="99"/>
              </w:rPr>
              <w:t>Incorporated by reference to Exhibit 4.1 hereto.</w:t>
            </w:r>
            <w:r>
              <w:rPr>
                <w:rFonts w:ascii="Times New Roman" w:cs="Times New Roman" w:eastAsia="Times New Roman" w:hAnsi="Times New Roman"/>
                <w:sz w:val="18"/>
                <w:szCs w:val="18"/>
                <w:color w:val="0000EE"/>
                <w:w w:val="99"/>
              </w:rPr>
              <w:t>)</w:t>
            </w:r>
          </w:p>
        </w:tc>
      </w:tr>
      <w:tr>
        <w:trPr>
          <w:trHeight w:val="30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  5.1</w:t>
            </w:r>
          </w:p>
        </w:tc>
        <w:tc>
          <w:tcPr>
            <w:tcW w:w="180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8"/>
              </w:rPr>
              <w:t>Opinion of Dechert LLP.</w:t>
            </w:r>
          </w:p>
        </w:tc>
        <w:tc>
          <w:tcPr>
            <w:tcW w:w="4220" w:type="dxa"/>
            <w:vAlign w:val="bottom"/>
            <w:gridSpan w:val="5"/>
          </w:tcPr>
          <w:p>
            <w:pPr>
              <w:spacing w:after="0"/>
              <w:rPr>
                <w:sz w:val="24"/>
                <w:szCs w:val="24"/>
                <w:color w:val="auto"/>
              </w:rPr>
            </w:pPr>
          </w:p>
        </w:tc>
      </w:tr>
      <w:tr>
        <w:trPr>
          <w:trHeight w:val="30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  5.2</w:t>
            </w:r>
          </w:p>
        </w:tc>
        <w:tc>
          <w:tcPr>
            <w:tcW w:w="26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Opinion of Miles &amp; Stockbridge P.C.</w:t>
            </w:r>
          </w:p>
        </w:tc>
        <w:tc>
          <w:tcPr>
            <w:tcW w:w="3340" w:type="dxa"/>
            <w:vAlign w:val="bottom"/>
            <w:gridSpan w:val="4"/>
          </w:tcPr>
          <w:p>
            <w:pPr>
              <w:spacing w:after="0"/>
              <w:rPr>
                <w:sz w:val="24"/>
                <w:szCs w:val="24"/>
                <w:color w:val="auto"/>
              </w:rPr>
            </w:pPr>
          </w:p>
        </w:tc>
      </w:tr>
      <w:tr>
        <w:trPr>
          <w:trHeight w:val="30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6020" w:type="dxa"/>
            <w:vAlign w:val="bottom"/>
            <w:gridSpan w:val="6"/>
          </w:tcPr>
          <w:p>
            <w:pPr>
              <w:spacing w:after="0"/>
              <w:rPr>
                <w:sz w:val="20"/>
                <w:szCs w:val="20"/>
                <w:color w:val="auto"/>
              </w:rPr>
            </w:pPr>
            <w:r>
              <w:rPr>
                <w:rFonts w:ascii="Times New Roman" w:cs="Times New Roman" w:eastAsia="Times New Roman" w:hAnsi="Times New Roman"/>
                <w:sz w:val="18"/>
                <w:szCs w:val="18"/>
                <w:color w:val="0000EE"/>
              </w:rPr>
              <w:t>Consent of Dechert LLP (included in Exhibit 5.1).</w:t>
            </w:r>
          </w:p>
        </w:tc>
      </w:tr>
      <w:tr>
        <w:trPr>
          <w:trHeight w:val="20"/>
        </w:trPr>
        <w:tc>
          <w:tcPr>
            <w:tcW w:w="1260" w:type="dxa"/>
            <w:vAlign w:val="bottom"/>
          </w:tcPr>
          <w:p>
            <w:pPr>
              <w:spacing w:after="0" w:line="20" w:lineRule="exact"/>
              <w:rPr>
                <w:sz w:val="1"/>
                <w:szCs w:val="1"/>
                <w:color w:val="auto"/>
              </w:rPr>
            </w:pPr>
          </w:p>
        </w:tc>
        <w:tc>
          <w:tcPr>
            <w:tcW w:w="3000" w:type="dxa"/>
            <w:vAlign w:val="bottom"/>
            <w:gridSpan w:val="3"/>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30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454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Consent of Miles &amp; Stockbridge P.C. (included in Exhibit 5.2).</w:t>
            </w:r>
          </w:p>
        </w:tc>
        <w:tc>
          <w:tcPr>
            <w:tcW w:w="1480" w:type="dxa"/>
            <w:vAlign w:val="bottom"/>
          </w:tcPr>
          <w:p>
            <w:pPr>
              <w:spacing w:after="0"/>
              <w:rPr>
                <w:sz w:val="24"/>
                <w:szCs w:val="24"/>
                <w:color w:val="auto"/>
              </w:rPr>
            </w:pPr>
          </w:p>
        </w:tc>
      </w:tr>
      <w:tr>
        <w:trPr>
          <w:trHeight w:val="304"/>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30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9"/>
              </w:rPr>
              <w:t>Press Release, dated November 20, 2024.</w:t>
            </w:r>
          </w:p>
        </w:tc>
        <w:tc>
          <w:tcPr>
            <w:tcW w:w="3020" w:type="dxa"/>
            <w:vAlign w:val="bottom"/>
            <w:gridSpan w:val="3"/>
          </w:tcPr>
          <w:p>
            <w:pPr>
              <w:spacing w:after="0"/>
              <w:rPr>
                <w:sz w:val="24"/>
                <w:szCs w:val="24"/>
                <w:color w:val="auto"/>
              </w:rPr>
            </w:pPr>
          </w:p>
        </w:tc>
      </w:tr>
      <w:tr>
        <w:trPr>
          <w:trHeight w:val="345"/>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02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bl>
    <w:p>
      <w:pPr>
        <w:sectPr>
          <w:pgSz w:w="11900" w:h="16838" w:orient="portrait"/>
          <w:cols w:equalWidth="0" w:num="1">
            <w:col w:w="10960"/>
          </w:cols>
          <w:pgMar w:left="440" w:top="293" w:right="499" w:bottom="1440" w:gutter="0" w:footer="0" w:header="0"/>
          <w:type w:val="continuous"/>
        </w:sectPr>
      </w:pPr>
    </w:p>
    <w:bookmarkStart w:id="3" w:name="page4"/>
    <w:bookmarkEnd w:id="3"/>
    <w:p>
      <w:pPr>
        <w:jc w:val="center"/>
        <w:ind w:right="-27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FS KKR Capital Corp.</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November 20,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Stephen Sypherd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Stephen Sypherd</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General Counsel</w:t>
      </w:r>
    </w:p>
    <w:p>
      <w:pPr>
        <w:sectPr>
          <w:pgSz w:w="11900" w:h="16838" w:orient="portrait"/>
          <w:cols w:equalWidth="0" w:num="1">
            <w:col w:w="10720"/>
          </w:cols>
          <w:pgMar w:left="440" w:top="293" w:right="7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XECUTION</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4"/>
          <w:szCs w:val="14"/>
          <w:b w:val="1"/>
          <w:bCs w:val="1"/>
          <w:color w:val="auto"/>
        </w:rPr>
        <w:t>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FOURTEENTH SUPPLEMENTAL INDENTURE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between</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FS KKR CAPITAL CORP.</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 BANK TRUST COMPANY, NATIONAL ASSOCIATION,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Trustee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Dated as of November 20,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182880</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FOURTEENTH SUPPLEMENTAL INDENTURE</w:t>
      </w:r>
    </w:p>
    <w:p>
      <w:pPr>
        <w:spacing w:after="0" w:line="229"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THIS FOURTEENTH SUPPLEMENTAL INDENTURE, dated as of November 20, 2024, is between FS KKR Capital Corp., a Maryland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U.S. Bank Trust Company, National Association, as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All capitalized terms used herein shall have the meaning set forth in the Base Indenture (as defined below) unless otherwise defined herein.</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RECITALS OF THE COMPANY</w:t>
      </w:r>
    </w:p>
    <w:p>
      <w:pPr>
        <w:spacing w:after="0" w:line="229" w:lineRule="exact"/>
        <w:rPr>
          <w:sz w:val="20"/>
          <w:szCs w:val="20"/>
          <w:color w:val="auto"/>
        </w:rPr>
      </w:pPr>
    </w:p>
    <w:p>
      <w:pPr>
        <w:ind w:right="140" w:firstLine="440"/>
        <w:spacing w:after="0" w:line="253" w:lineRule="auto"/>
        <w:rPr>
          <w:sz w:val="20"/>
          <w:szCs w:val="20"/>
          <w:color w:val="auto"/>
        </w:rPr>
      </w:pPr>
      <w:r>
        <w:rPr>
          <w:rFonts w:ascii="Times New Roman" w:cs="Times New Roman" w:eastAsia="Times New Roman" w:hAnsi="Times New Roman"/>
          <w:sz w:val="18"/>
          <w:szCs w:val="18"/>
          <w:color w:val="auto"/>
        </w:rPr>
        <w:t>The Company and the Trustee executed and delivered an Indenture, dated as of July 14, 2014 (the “</w:t>
      </w:r>
      <w:r>
        <w:rPr>
          <w:rFonts w:ascii="Times New Roman" w:cs="Times New Roman" w:eastAsia="Times New Roman" w:hAnsi="Times New Roman"/>
          <w:sz w:val="18"/>
          <w:szCs w:val="18"/>
          <w:u w:val="single" w:color="auto"/>
          <w:color w:val="auto"/>
        </w:rPr>
        <w:t>Base Indenture</w:t>
      </w:r>
      <w:r>
        <w:rPr>
          <w:rFonts w:ascii="Times New Roman" w:cs="Times New Roman" w:eastAsia="Times New Roman" w:hAnsi="Times New Roman"/>
          <w:sz w:val="18"/>
          <w:szCs w:val="18"/>
          <w:color w:val="auto"/>
        </w:rPr>
        <w:t>”), as amended and supplemented by the First Supplemental Indenture, dated as of July 14, 2014, the Second Supplemental Indenture, dated as of December 3, 2014, the Third Supplemental Indenture, dated as of April 30, 2015, the Fourth Supplemental Indenture, dated as of July 15, 2019, the Fifth Supplemental Indenture, dated as of November 20, 2019, the Sixth Supplemental Indenture, dated as of April 30, 2020, the Seventh Supplemental Indenture, dated as of December 10, 2020, the Eighth Supplemental Indenture, dated as of June 17, 2021, the Ninth Supplemental Indenture, dated as of October 12, 2021, the Tenth Supplemental Indenture, dated as of October 12, 2021, the Eleventh Supplemental Indenture, dated as of January 18, 2022, the Twelfth Supplemental Indenture, dated as of November 21, 2023, the Thirteenth Supplemental Indenture, dated as of June 6, 2024, and this Fourteenth Supplemental Indenture (the “</w:t>
      </w:r>
      <w:r>
        <w:rPr>
          <w:rFonts w:ascii="Times New Roman" w:cs="Times New Roman" w:eastAsia="Times New Roman" w:hAnsi="Times New Roman"/>
          <w:sz w:val="18"/>
          <w:szCs w:val="18"/>
          <w:u w:val="single" w:color="auto"/>
          <w:color w:val="auto"/>
        </w:rPr>
        <w:t>Fourteenth Supplemental Indenture</w:t>
      </w:r>
      <w:r>
        <w:rPr>
          <w:rFonts w:ascii="Times New Roman" w:cs="Times New Roman" w:eastAsia="Times New Roman" w:hAnsi="Times New Roman"/>
          <w:sz w:val="18"/>
          <w:szCs w:val="18"/>
          <w:color w:val="auto"/>
        </w:rPr>
        <w:t>” and, together with the Base Indenture,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to provide for the issuance by the Company from time to time of the Company’s unsecured debentures, notes or other evidences of indebtedness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to be issued in one or more series as provided in the Base Indenture.</w:t>
      </w:r>
    </w:p>
    <w:p>
      <w:pPr>
        <w:spacing w:after="0" w:line="19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desires to issue and sell $600,000,000 aggregate principal amount of the Company’s 6.125% Notes due 2030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Sections 901(4) and 901(6) of the Base Indenture provide that without the consent of Holders of the Securities of any series issued under the Base Indenture (as supplemented or amended from time to time by one or more indentures supplemental thereto), the Company, when authorized by or pursuant to a Board Resolution, and the Trustee, at any time and from time to time, may enter into one or more indentures supplemental to the Base Indenture to (i) change or eliminate any of the provisions of the Base Indenture (as supplemented or amended from time to time by one or more indentures supplemental thereto) when there is no Security Outstanding of any series created prior to the execution of the supplemental indenture that is entitled to the benefit of such provision and (ii) establish the form or terms of Securities of any series as permitted by Section 201 and Section 301 of the Base Indenture.</w:t>
      </w:r>
    </w:p>
    <w:p>
      <w:pPr>
        <w:spacing w:after="0" w:line="189" w:lineRule="exact"/>
        <w:rPr>
          <w:sz w:val="20"/>
          <w:szCs w:val="20"/>
          <w:color w:val="auto"/>
        </w:rPr>
      </w:pPr>
    </w:p>
    <w:p>
      <w:pPr>
        <w:jc w:val="both"/>
        <w:ind w:right="420" w:firstLine="440"/>
        <w:spacing w:after="0" w:line="266" w:lineRule="auto"/>
        <w:rPr>
          <w:sz w:val="20"/>
          <w:szCs w:val="20"/>
          <w:color w:val="auto"/>
        </w:rPr>
      </w:pPr>
      <w:r>
        <w:rPr>
          <w:rFonts w:ascii="Times New Roman" w:cs="Times New Roman" w:eastAsia="Times New Roman" w:hAnsi="Times New Roman"/>
          <w:sz w:val="18"/>
          <w:szCs w:val="18"/>
          <w:color w:val="auto"/>
        </w:rPr>
        <w:t>The Company desires to establish the form and terms of the Notes and to modify, alter, supplement and change certain provisions of the Base Indenture for the benefit of the Holders of the Notes (subject to amendment as may be provided in a future supplemental indenture to the Indenture (“</w:t>
      </w:r>
      <w:r>
        <w:rPr>
          <w:rFonts w:ascii="Times New Roman" w:cs="Times New Roman" w:eastAsia="Times New Roman" w:hAnsi="Times New Roman"/>
          <w:sz w:val="18"/>
          <w:szCs w:val="18"/>
          <w:u w:val="single" w:color="auto"/>
          <w:color w:val="auto"/>
        </w:rPr>
        <w:t>Future Supplemental Indenture</w:t>
      </w:r>
      <w:r>
        <w:rPr>
          <w:rFonts w:ascii="Times New Roman" w:cs="Times New Roman" w:eastAsia="Times New Roman" w:hAnsi="Times New Roman"/>
          <w:sz w:val="18"/>
          <w:szCs w:val="18"/>
          <w:color w:val="auto"/>
        </w:rPr>
        <w:t>”)).</w:t>
      </w:r>
    </w:p>
    <w:p>
      <w:pPr>
        <w:sectPr>
          <w:pgSz w:w="11900" w:h="16838" w:orient="portrait"/>
          <w:cols w:equalWidth="0" w:num="1">
            <w:col w:w="11020"/>
          </w:cols>
          <w:pgMar w:left="440" w:top="117" w:right="439" w:bottom="1440" w:gutter="0" w:footer="0" w:header="0"/>
        </w:sectPr>
      </w:pPr>
    </w:p>
    <w:bookmarkStart w:id="5" w:name="page6"/>
    <w:bookmarkEnd w:id="5"/>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has duly authorized the execution and delivery of this Fourteenth Supplemental Indenture to provide for the issuance of the Notes and all acts and things necessary to make this Fourteenth Supplemental Indenture a valid, binding, and legal obligation of the Company and to constitute a valid agreement of the Company, in accordance with its terms, have been done and performed.</w:t>
      </w:r>
    </w:p>
    <w:p>
      <w:pPr>
        <w:spacing w:after="0" w:line="176" w:lineRule="exact"/>
        <w:rPr>
          <w:sz w:val="20"/>
          <w:szCs w:val="20"/>
          <w:color w:val="auto"/>
        </w:rPr>
      </w:pPr>
    </w:p>
    <w:p>
      <w:pPr>
        <w:ind w:right="100" w:firstLine="440"/>
        <w:spacing w:after="0" w:line="282" w:lineRule="auto"/>
        <w:rPr>
          <w:sz w:val="20"/>
          <w:szCs w:val="20"/>
          <w:color w:val="auto"/>
        </w:rPr>
      </w:pPr>
      <w:r>
        <w:rPr>
          <w:rFonts w:ascii="Times New Roman" w:cs="Times New Roman" w:eastAsia="Times New Roman" w:hAnsi="Times New Roman"/>
          <w:sz w:val="18"/>
          <w:szCs w:val="18"/>
          <w:color w:val="auto"/>
        </w:rPr>
        <w:t>NOW, THEREFORE, for and in consideration of the premises and the purchase of the Notes by the Holders thereof, it is mutually agreed, for the equal and proportionate benefit of all Holders of the Notes, as follows:</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TERMS OF THE NOTES</w:t>
      </w:r>
    </w:p>
    <w:p>
      <w:pPr>
        <w:spacing w:after="0" w:line="20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1.01. </w:t>
      </w:r>
      <w:r>
        <w:rPr>
          <w:rFonts w:ascii="Times New Roman" w:cs="Times New Roman" w:eastAsia="Times New Roman" w:hAnsi="Times New Roman"/>
          <w:sz w:val="18"/>
          <w:szCs w:val="18"/>
          <w:color w:val="auto"/>
        </w:rPr>
        <w:t>The following terms relating to the Notes are hereby established:</w:t>
      </w:r>
    </w:p>
    <w:p>
      <w:pPr>
        <w:spacing w:after="0" w:line="229" w:lineRule="exact"/>
        <w:rPr>
          <w:sz w:val="20"/>
          <w:szCs w:val="20"/>
          <w:color w:val="auto"/>
        </w:rPr>
      </w:pPr>
    </w:p>
    <w:p>
      <w:pPr>
        <w:ind w:right="540" w:firstLine="987"/>
        <w:spacing w:after="0" w:line="282" w:lineRule="auto"/>
        <w:tabs>
          <w:tab w:leader="none" w:pos="123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constitute a series of Senior Securities having the title “6.125% Notes due 2030”. The Notes shall bear a CUSIP number of 302635 AP2 and an ISIN number of US302635AP20.</w:t>
      </w:r>
    </w:p>
    <w:p>
      <w:pPr>
        <w:spacing w:after="0" w:line="161" w:lineRule="exact"/>
        <w:rPr>
          <w:rFonts w:ascii="Times New Roman" w:cs="Times New Roman" w:eastAsia="Times New Roman" w:hAnsi="Times New Roman"/>
          <w:sz w:val="18"/>
          <w:szCs w:val="18"/>
          <w:color w:val="auto"/>
        </w:rPr>
      </w:pPr>
    </w:p>
    <w:p>
      <w:pPr>
        <w:ind w:right="80" w:firstLine="987"/>
        <w:spacing w:after="0" w:line="253" w:lineRule="auto"/>
        <w:tabs>
          <w:tab w:leader="none" w:pos="124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the Notes that may be initially authenticated and delivered under the Indenture (except for Notes authenticated and delivered upon registration of, transfer of, or in exchange for, or in lieu of, other Notes pursuant to Sections 304, 305, 306, 906, 1107 or 1305 of the Base Indenture, and except for any Securities that, pursuant to Section 303 of the Base Indenture, are deemed never to have been authenticated and delivered under the Indenture) shall be $600,000,000. Under a Board Resolution, Officers’ Certificate pursuant to Board Resolutions or an indenture supplement, the Company may from time to time, without the consent of the Holders of Notes, issue additional Notes (in any such case “</w:t>
      </w:r>
      <w:r>
        <w:rPr>
          <w:rFonts w:ascii="Times New Roman" w:cs="Times New Roman" w:eastAsia="Times New Roman" w:hAnsi="Times New Roman"/>
          <w:sz w:val="18"/>
          <w:szCs w:val="18"/>
          <w:u w:val="single" w:color="auto"/>
          <w:color w:val="auto"/>
        </w:rPr>
        <w:t>Additional Notes</w:t>
      </w:r>
      <w:r>
        <w:rPr>
          <w:rFonts w:ascii="Times New Roman" w:cs="Times New Roman" w:eastAsia="Times New Roman" w:hAnsi="Times New Roman"/>
          <w:sz w:val="18"/>
          <w:szCs w:val="18"/>
          <w:color w:val="auto"/>
        </w:rPr>
        <w:t xml:space="preserve">”) having the same ranking and the same interest rate, maturity and other terms as the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Additional Notes are not fungible with the Notes (or any other tranche of Additional Notes) for U.S. federal income tax purposes, then such Additional Notes will have different CUSIP numbers from the Notes (and any such other tranche of Additional Notes). Any Additional Notes and the existing Notes will constitute a single series under the Indenture and all references to the relevant Notes herein shall include the Additional Notes unless the context otherwise requires.</w:t>
      </w:r>
    </w:p>
    <w:p>
      <w:pPr>
        <w:spacing w:after="0" w:line="194" w:lineRule="exact"/>
        <w:rPr>
          <w:rFonts w:ascii="Times New Roman" w:cs="Times New Roman" w:eastAsia="Times New Roman" w:hAnsi="Times New Roman"/>
          <w:sz w:val="18"/>
          <w:szCs w:val="18"/>
          <w:color w:val="auto"/>
        </w:rPr>
      </w:pPr>
    </w:p>
    <w:p>
      <w:pPr>
        <w:ind w:right="740" w:firstLine="987"/>
        <w:spacing w:after="0" w:line="282" w:lineRule="auto"/>
        <w:tabs>
          <w:tab w:leader="none" w:pos="123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entire outstanding principal of the Notes shall be payable on January 15, 2030, unless earlier redeemed or repurchased in accordance with the provisions of this Fourteenth Supplemental Indenture.</w:t>
      </w:r>
    </w:p>
    <w:p>
      <w:pPr>
        <w:spacing w:after="0" w:line="161" w:lineRule="exact"/>
        <w:rPr>
          <w:rFonts w:ascii="Times New Roman" w:cs="Times New Roman" w:eastAsia="Times New Roman" w:hAnsi="Times New Roman"/>
          <w:sz w:val="18"/>
          <w:szCs w:val="18"/>
          <w:color w:val="auto"/>
        </w:rPr>
      </w:pPr>
    </w:p>
    <w:p>
      <w:pPr>
        <w:ind w:firstLine="987"/>
        <w:spacing w:after="0" w:line="252" w:lineRule="auto"/>
        <w:tabs>
          <w:tab w:leader="none" w:pos="124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rate at which the Notes shall bear interest shall be 6.125% per annum (the “</w:t>
      </w:r>
      <w:r>
        <w:rPr>
          <w:rFonts w:ascii="Times New Roman" w:cs="Times New Roman" w:eastAsia="Times New Roman" w:hAnsi="Times New Roman"/>
          <w:sz w:val="18"/>
          <w:szCs w:val="18"/>
          <w:u w:val="single" w:color="auto"/>
          <w:color w:val="auto"/>
        </w:rPr>
        <w:t>Applicable Interest Rate</w:t>
      </w:r>
      <w:r>
        <w:rPr>
          <w:rFonts w:ascii="Times New Roman" w:cs="Times New Roman" w:eastAsia="Times New Roman" w:hAnsi="Times New Roman"/>
          <w:sz w:val="18"/>
          <w:szCs w:val="18"/>
          <w:color w:val="auto"/>
        </w:rPr>
        <w:t xml:space="preserve">”). The date from which interest shall accrue on the Notes shall be November 20, 2024, or the most recent Interest Payment Date to which interest has been paid or provided for; the Interest Payment Dates for the Notes shall be January 15 and July 15 of each year, commencing July 15, 2025 (if an Interest Payment Date falls on a day that is not a Business Day, then the applicable interest payment will be made on the next succeeding Business Day and no additional interest will accrue as a result of such delayed payment); the initial interest period will be the period from and including November 20, 2024 (or the most recent Interest Payment Date to which interest has been paid or provided for), to, but excluding, the initial Interest Payment Date, and the subsequent interest periods will be the periods from and including an Interest Payment Date to, but excluding, the next Interest Payment Date or the Stated Maturity, as the case may be. Interest so payable, and punctually paid or duly provided for, on any Interest Payment Date, will be paid to the Person in whose name the Note (or one or more Predecessor Securities) is registered at 5:00 p.m. New York City time, or the close of business, on the Regular Record Date for such interest, which shall be January 1 and July 1 (whether or not a Business Day), as the case may be, next preceding such Interest Payment Date. Payment of principal of (and premium, if any, on) and any such interest on the Notes will be made at the office of the Trustee located at One Federal Street, 10th Floor, Boston, MA 02110 and at such other address as designated by the Trustee, in such coin or currency of the United States of America as at the time of payment is legal tender for payment of public and private debts;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at the option of the Company, payment of interest may be made by check mailed to the address of the Person entitled thereto as such address shall appear in the Security Register. Interest on the Notes will be computed on the basis of a 360-day year of twelve 30-day months.</w:t>
      </w:r>
    </w:p>
    <w:p>
      <w:pPr>
        <w:spacing w:after="0" w:line="128"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w:t>
      </w:r>
    </w:p>
    <w:p>
      <w:pPr>
        <w:sectPr>
          <w:pgSz w:w="11900" w:h="16838" w:orient="portrait"/>
          <w:cols w:equalWidth="0" w:num="1">
            <w:col w:w="11000"/>
          </w:cols>
          <w:pgMar w:left="440" w:top="270" w:right="459" w:bottom="1440" w:gutter="0" w:footer="0" w:header="0"/>
        </w:sectPr>
      </w:pPr>
    </w:p>
    <w:bookmarkStart w:id="6" w:name="page7"/>
    <w:bookmarkEnd w:id="6"/>
    <w:p>
      <w:pPr>
        <w:ind w:firstLine="987"/>
        <w:spacing w:after="0" w:line="274" w:lineRule="auto"/>
        <w:tabs>
          <w:tab w:leader="none" w:pos="12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Notes shall be initially issuable in global form (each such Note, a “</w:t>
      </w:r>
      <w:r>
        <w:rPr>
          <w:rFonts w:ascii="Times New Roman" w:cs="Times New Roman" w:eastAsia="Times New Roman" w:hAnsi="Times New Roman"/>
          <w:sz w:val="17"/>
          <w:szCs w:val="17"/>
          <w:u w:val="single" w:color="auto"/>
          <w:color w:val="auto"/>
        </w:rPr>
        <w:t>Global Note</w:t>
      </w:r>
      <w:r>
        <w:rPr>
          <w:rFonts w:ascii="Times New Roman" w:cs="Times New Roman" w:eastAsia="Times New Roman" w:hAnsi="Times New Roman"/>
          <w:sz w:val="17"/>
          <w:szCs w:val="17"/>
          <w:color w:val="auto"/>
        </w:rPr>
        <w:t xml:space="preserve">”). The Global Notes and the Trustee’s certificate of authentication thereon shall be substantially in the form of </w:t>
      </w:r>
      <w:r>
        <w:rPr>
          <w:rFonts w:ascii="Times New Roman" w:cs="Times New Roman" w:eastAsia="Times New Roman" w:hAnsi="Times New Roman"/>
          <w:sz w:val="17"/>
          <w:szCs w:val="17"/>
          <w:u w:val="single" w:color="auto"/>
          <w:color w:val="auto"/>
        </w:rPr>
        <w:t>Exhibit A</w:t>
      </w:r>
      <w:r>
        <w:rPr>
          <w:rFonts w:ascii="Times New Roman" w:cs="Times New Roman" w:eastAsia="Times New Roman" w:hAnsi="Times New Roman"/>
          <w:sz w:val="17"/>
          <w:szCs w:val="17"/>
          <w:color w:val="auto"/>
        </w:rPr>
        <w:t xml:space="preserve"> to this Fourteenth Supplemental Indenture. Each Global Note shall represent the outstanding Notes as shall be specified therein and each shall provide that it shall represent the aggregate amount of outstanding Notes from time to time endorsed thereon and that the aggregate amount of outstanding Notes represented thereby may from time to time be reduced or increased, as appropriate, to reflect exchanges and redemptions. Any endorsement of a Global Note to reflect the amount of any increase or decrease in the amount of outstanding Notes represented thereby shall be made by the Trustee or the Security Registrar, in accordance with Sections 203 and 305 of the Base Indenture.</w:t>
      </w:r>
    </w:p>
    <w:p>
      <w:pPr>
        <w:spacing w:after="0" w:line="172" w:lineRule="exact"/>
        <w:rPr>
          <w:rFonts w:ascii="Times New Roman" w:cs="Times New Roman" w:eastAsia="Times New Roman" w:hAnsi="Times New Roman"/>
          <w:sz w:val="17"/>
          <w:szCs w:val="17"/>
          <w:color w:val="auto"/>
        </w:rPr>
      </w:pPr>
    </w:p>
    <w:p>
      <w:pPr>
        <w:ind w:right="160" w:firstLine="987"/>
        <w:spacing w:after="0" w:line="266" w:lineRule="auto"/>
        <w:tabs>
          <w:tab w:leader="none" w:pos="121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for such Global Notes (the “</w:t>
      </w:r>
      <w:r>
        <w:rPr>
          <w:rFonts w:ascii="Times New Roman" w:cs="Times New Roman" w:eastAsia="Times New Roman" w:hAnsi="Times New Roman"/>
          <w:sz w:val="18"/>
          <w:szCs w:val="18"/>
          <w:u w:val="single" w:color="auto"/>
          <w:color w:val="auto"/>
        </w:rPr>
        <w:t>Depositary</w:t>
      </w:r>
      <w:r>
        <w:rPr>
          <w:rFonts w:ascii="Times New Roman" w:cs="Times New Roman" w:eastAsia="Times New Roman" w:hAnsi="Times New Roman"/>
          <w:sz w:val="18"/>
          <w:szCs w:val="18"/>
          <w:color w:val="auto"/>
        </w:rPr>
        <w:t>”) shall be The Depository Trust Company, New York, New York, until a successor shall have been appointed and becomes such person, and thereafter, Depositary shall mean or include such successor. The Security Registrar with respect to the Global Notes shall be the Trustee.</w:t>
      </w:r>
    </w:p>
    <w:p>
      <w:pPr>
        <w:spacing w:after="0" w:line="175" w:lineRule="exact"/>
        <w:rPr>
          <w:rFonts w:ascii="Times New Roman" w:cs="Times New Roman" w:eastAsia="Times New Roman" w:hAnsi="Times New Roman"/>
          <w:sz w:val="18"/>
          <w:szCs w:val="18"/>
          <w:color w:val="auto"/>
        </w:rPr>
      </w:pPr>
    </w:p>
    <w:p>
      <w:pPr>
        <w:ind w:right="480" w:firstLine="987"/>
        <w:spacing w:after="0" w:line="282" w:lineRule="auto"/>
        <w:tabs>
          <w:tab w:leader="none" w:pos="124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defeasible pursuant to Section 1402 or Section 1403 of the Base Indenture. Covenant defeasance contained in Section 1403 of the Base Indenture shall apply to the covenants contained in Sections 1007 and 1008 of the Indenture.</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redeemable pursuant to Section 1101 of the Base Indenture and as follows:</w:t>
      </w:r>
    </w:p>
    <w:p>
      <w:pPr>
        <w:spacing w:after="0" w:line="117" w:lineRule="exact"/>
        <w:rPr>
          <w:rFonts w:ascii="Times New Roman" w:cs="Times New Roman" w:eastAsia="Times New Roman" w:hAnsi="Times New Roman"/>
          <w:sz w:val="18"/>
          <w:szCs w:val="18"/>
          <w:color w:val="auto"/>
        </w:rPr>
      </w:pPr>
    </w:p>
    <w:p>
      <w:pPr>
        <w:jc w:val="both"/>
        <w:ind w:left="980" w:firstLine="408"/>
        <w:spacing w:after="0" w:line="266" w:lineRule="auto"/>
        <w:tabs>
          <w:tab w:leader="none" w:pos="1596"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December 15, 2029 (one month prior to their maturity date) (the “</w:t>
      </w:r>
      <w:r>
        <w:rPr>
          <w:rFonts w:ascii="Times New Roman" w:cs="Times New Roman" w:eastAsia="Times New Roman" w:hAnsi="Times New Roman"/>
          <w:sz w:val="18"/>
          <w:szCs w:val="18"/>
          <w:u w:val="single" w:color="auto"/>
          <w:color w:val="auto"/>
        </w:rPr>
        <w:t>Par Call Date</w:t>
      </w:r>
      <w:r>
        <w:rPr>
          <w:rFonts w:ascii="Times New Roman" w:cs="Times New Roman" w:eastAsia="Times New Roman" w:hAnsi="Times New Roman"/>
          <w:sz w:val="18"/>
          <w:szCs w:val="18"/>
          <w:color w:val="auto"/>
        </w:rPr>
        <w:t>”), the Company may redeem the Notes at its option, in whole or in part, at any time and from time to time, at a Redemption Price (expressed as a percentage of principal amount and rounded to three decimal places) equal to the greater of:</w:t>
      </w:r>
    </w:p>
    <w:p>
      <w:pPr>
        <w:spacing w:after="0" w:line="81" w:lineRule="exact"/>
        <w:rPr>
          <w:rFonts w:ascii="Times New Roman" w:cs="Times New Roman" w:eastAsia="Times New Roman" w:hAnsi="Times New Roman"/>
          <w:sz w:val="18"/>
          <w:szCs w:val="18"/>
          <w:color w:val="auto"/>
        </w:rPr>
      </w:pPr>
    </w:p>
    <w:p>
      <w:pPr>
        <w:ind w:left="2400" w:right="140" w:hanging="433"/>
        <w:spacing w:after="0" w:line="261" w:lineRule="auto"/>
        <w:tabs>
          <w:tab w:leader="none" w:pos="240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30 basis points less (2) interest accrued to the Redemption Date, and</w:t>
      </w:r>
    </w:p>
    <w:p>
      <w:pPr>
        <w:spacing w:after="0" w:line="85" w:lineRule="exact"/>
        <w:rPr>
          <w:rFonts w:ascii="Times New Roman" w:cs="Times New Roman" w:eastAsia="Times New Roman" w:hAnsi="Times New Roman"/>
          <w:sz w:val="18"/>
          <w:szCs w:val="18"/>
          <w:color w:val="auto"/>
        </w:rPr>
      </w:pPr>
    </w:p>
    <w:p>
      <w:pPr>
        <w:ind w:left="2400" w:hanging="433"/>
        <w:spacing w:after="0"/>
        <w:tabs>
          <w:tab w:leader="none" w:pos="240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to be redeemed,</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the Redemption Date.</w:t>
      </w:r>
    </w:p>
    <w:p>
      <w:pPr>
        <w:spacing w:after="0" w:line="225" w:lineRule="exact"/>
        <w:rPr>
          <w:sz w:val="20"/>
          <w:szCs w:val="20"/>
          <w:color w:val="auto"/>
        </w:rPr>
      </w:pPr>
    </w:p>
    <w:p>
      <w:pPr>
        <w:ind w:right="40" w:firstLine="1428"/>
        <w:spacing w:after="0" w:line="312" w:lineRule="auto"/>
        <w:tabs>
          <w:tab w:leader="none" w:pos="169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or after the Par Call Date, the Company may redeem the Notes, in whole or in part, at any time and from time to time, at a Redemption Price equal to 100% of the principal amount of the Notes being redeemed plus accrued and unpaid interest thereon to the Redemption Date.</w:t>
      </w:r>
    </w:p>
    <w:p>
      <w:pPr>
        <w:spacing w:after="0" w:line="140"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For purposes of calculating the Redemption Price in connection with the redemption of the Notes, on any Redemption Date, the following terms have the meanings set forth below:</w:t>
      </w:r>
    </w:p>
    <w:p>
      <w:pPr>
        <w:spacing w:after="0" w:line="162"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Treasury Rate</w:t>
      </w:r>
      <w:r>
        <w:rPr>
          <w:rFonts w:ascii="Times New Roman" w:cs="Times New Roman" w:eastAsia="Times New Roman" w:hAnsi="Times New Roman"/>
          <w:sz w:val="18"/>
          <w:szCs w:val="18"/>
          <w:color w:val="auto"/>
        </w:rPr>
        <w:t>” means, with respect to any Redemption Date, the yield determined by the Company in accordance with the following two paragraphs.</w:t>
      </w:r>
    </w:p>
    <w:p>
      <w:pPr>
        <w:spacing w:after="0" w:line="162" w:lineRule="exact"/>
        <w:rPr>
          <w:sz w:val="20"/>
          <w:szCs w:val="20"/>
          <w:color w:val="auto"/>
        </w:rPr>
      </w:pPr>
    </w:p>
    <w:p>
      <w:pPr>
        <w:ind w:right="100" w:firstLine="440"/>
        <w:spacing w:after="0" w:line="254" w:lineRule="auto"/>
        <w:rPr>
          <w:sz w:val="20"/>
          <w:szCs w:val="20"/>
          <w:color w:val="auto"/>
        </w:rPr>
      </w:pPr>
      <w:r>
        <w:rPr>
          <w:rFonts w:ascii="Times New Roman" w:cs="Times New Roman" w:eastAsia="Times New Roman" w:hAnsi="Times New Roman"/>
          <w:sz w:val="18"/>
          <w:szCs w:val="18"/>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In determining the Treasury Rate, the Company shall select, as applicable: (1) the yield for the Treasury constant maturity on H.15 exactly equal to the period from the Redemption Date to the Par Call Date (the “</w:t>
      </w:r>
      <w:r>
        <w:rPr>
          <w:rFonts w:ascii="Times New Roman" w:cs="Times New Roman" w:eastAsia="Times New Roman" w:hAnsi="Times New Roman"/>
          <w:sz w:val="18"/>
          <w:szCs w:val="18"/>
          <w:u w:val="single" w:color="auto"/>
          <w:color w:val="auto"/>
        </w:rPr>
        <w:t>Remaining Life</w:t>
      </w:r>
      <w:r>
        <w:rPr>
          <w:rFonts w:ascii="Times New Roman" w:cs="Times New Roman" w:eastAsia="Times New Roman" w:hAnsi="Times New Roman"/>
          <w:sz w:val="18"/>
          <w:szCs w:val="18"/>
          <w:color w:val="auto"/>
        </w:rPr>
        <w:t>”);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- 3 -</w:t>
      </w:r>
    </w:p>
    <w:p>
      <w:pPr>
        <w:sectPr>
          <w:pgSz w:w="11900" w:h="16838" w:orient="portrait"/>
          <w:cols w:equalWidth="0" w:num="1">
            <w:col w:w="11000"/>
          </w:cols>
          <w:pgMar w:left="440" w:top="270" w:right="459" w:bottom="1440" w:gutter="0" w:footer="0" w:header="0"/>
        </w:sectPr>
      </w:pPr>
    </w:p>
    <w:bookmarkStart w:id="7" w:name="page8"/>
    <w:bookmarkEnd w:id="7"/>
    <w:p>
      <w:pPr>
        <w:jc w:val="both"/>
        <w:ind w:right="1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83"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or any successor designation or publication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actions and determinations in determining the Redemption Price shall be conclusive and binding for all purposes, absent manifest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error.</w:t>
      </w:r>
    </w:p>
    <w:p>
      <w:pPr>
        <w:spacing w:after="0" w:line="99" w:lineRule="exact"/>
        <w:rPr>
          <w:sz w:val="20"/>
          <w:szCs w:val="20"/>
          <w:color w:val="auto"/>
        </w:rPr>
      </w:pPr>
    </w:p>
    <w:p>
      <w:pPr>
        <w:ind w:left="440" w:right="120" w:firstLine="952"/>
        <w:spacing w:after="0" w:line="261" w:lineRule="auto"/>
        <w:rPr>
          <w:sz w:val="20"/>
          <w:szCs w:val="20"/>
          <w:color w:val="auto"/>
        </w:rPr>
      </w:pPr>
      <w:r>
        <w:rPr>
          <w:rFonts w:ascii="Times New Roman" w:cs="Times New Roman" w:eastAsia="Times New Roman" w:hAnsi="Times New Roman"/>
          <w:sz w:val="18"/>
          <w:szCs w:val="18"/>
          <w:color w:val="auto"/>
        </w:rPr>
        <w:t>(i) Notice of redemption shall be given in writing and mailed, first-class postage prepaid or by overnight courier guaranteeing next-day delivery, to each Holder of the Notes to be redeemed, not less than ten (10) nor more than sixty (60) days prior to the Redemption Date, at the Holder’s address appearing in the Security Register. All notices of redemption shall contain the information set forth in Section 1104 of the Base Indenture.</w:t>
      </w:r>
    </w:p>
    <w:p>
      <w:pPr>
        <w:spacing w:after="0" w:line="72" w:lineRule="exact"/>
        <w:rPr>
          <w:sz w:val="20"/>
          <w:szCs w:val="20"/>
          <w:color w:val="auto"/>
        </w:rPr>
      </w:pPr>
    </w:p>
    <w:p>
      <w:pPr>
        <w:ind w:left="440" w:right="80" w:firstLine="948"/>
        <w:spacing w:after="0" w:line="282" w:lineRule="auto"/>
        <w:tabs>
          <w:tab w:leader="none" w:pos="165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exercise of the Company’s option to redeem the Notes will be done in compliance with the Investment Company Act, to the extent applicable.</w:t>
      </w:r>
    </w:p>
    <w:p>
      <w:pPr>
        <w:spacing w:after="0" w:line="53" w:lineRule="exact"/>
        <w:rPr>
          <w:rFonts w:ascii="Times New Roman" w:cs="Times New Roman" w:eastAsia="Times New Roman" w:hAnsi="Times New Roman"/>
          <w:sz w:val="18"/>
          <w:szCs w:val="18"/>
          <w:color w:val="auto"/>
        </w:rPr>
      </w:pPr>
    </w:p>
    <w:p>
      <w:pPr>
        <w:ind w:left="440" w:right="120" w:firstLine="948"/>
        <w:spacing w:after="0" w:line="289" w:lineRule="auto"/>
        <w:tabs>
          <w:tab w:leader="none" w:pos="1707" w:val="left"/>
        </w:tabs>
        <w:numPr>
          <w:ilvl w:val="1"/>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the Company elects to redeem only a portion of the Notes, the particular Notes to be redeemed will be selected in accordance with the applicable procedures of the Trustee and, so long as the Notes are registered to the Depositary or its nominee, the Depositary;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no such partial redemption shall reduce the portion of the principal amount of a Note not redeemed to less than $2,000.</w:t>
      </w:r>
    </w:p>
    <w:p>
      <w:pPr>
        <w:spacing w:after="0" w:line="49" w:lineRule="exact"/>
        <w:rPr>
          <w:rFonts w:ascii="Times New Roman" w:cs="Times New Roman" w:eastAsia="Times New Roman" w:hAnsi="Times New Roman"/>
          <w:sz w:val="17"/>
          <w:szCs w:val="17"/>
          <w:color w:val="auto"/>
        </w:rPr>
      </w:pPr>
    </w:p>
    <w:p>
      <w:pPr>
        <w:ind w:left="440" w:right="460" w:firstLine="948"/>
        <w:spacing w:after="0" w:line="282" w:lineRule="auto"/>
        <w:tabs>
          <w:tab w:leader="none" w:pos="169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Company defaults in payment of the Redemption Price, on and after the Redemption Date, interest will cease to accrue on the Notes called for redemption hereunder.</w:t>
      </w:r>
    </w:p>
    <w:p>
      <w:pPr>
        <w:spacing w:after="0" w:line="161"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not be subject to any sinking fund pursuant to Section 1201 of the Base Indenture.</w:t>
      </w:r>
    </w:p>
    <w:p>
      <w:pPr>
        <w:spacing w:after="0" w:line="225" w:lineRule="exact"/>
        <w:rPr>
          <w:rFonts w:ascii="Times New Roman" w:cs="Times New Roman" w:eastAsia="Times New Roman" w:hAnsi="Times New Roman"/>
          <w:sz w:val="18"/>
          <w:szCs w:val="18"/>
          <w:color w:val="auto"/>
        </w:rPr>
      </w:pPr>
    </w:p>
    <w:p>
      <w:pPr>
        <w:ind w:left="1200" w:hanging="213"/>
        <w:spacing w:after="0"/>
        <w:tabs>
          <w:tab w:leader="none" w:pos="12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shall be issuable in denominations of $2,000 and integral multiples of $1,000 in excess thereof.</w:t>
      </w:r>
    </w:p>
    <w:p>
      <w:pPr>
        <w:spacing w:after="0" w:line="225" w:lineRule="exact"/>
        <w:rPr>
          <w:rFonts w:ascii="Times New Roman" w:cs="Times New Roman" w:eastAsia="Times New Roman" w:hAnsi="Times New Roman"/>
          <w:sz w:val="18"/>
          <w:szCs w:val="18"/>
          <w:color w:val="auto"/>
        </w:rPr>
      </w:pPr>
    </w:p>
    <w:p>
      <w:pPr>
        <w:ind w:right="520" w:firstLine="987"/>
        <w:spacing w:after="0" w:line="282" w:lineRule="auto"/>
        <w:tabs>
          <w:tab w:leader="none" w:pos="124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the Notes will not have the option to have the Notes repaid prior to the Stated Maturity other than in accordance with Article Thirteen of the Indenture.</w:t>
      </w:r>
    </w:p>
    <w:p>
      <w:pPr>
        <w:spacing w:after="0" w:line="94"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4 -</w:t>
      </w:r>
    </w:p>
    <w:p>
      <w:pPr>
        <w:sectPr>
          <w:pgSz w:w="11900" w:h="16838" w:orient="portrait"/>
          <w:cols w:equalWidth="0" w:num="1">
            <w:col w:w="11000"/>
          </w:cols>
          <w:pgMar w:left="440" w:top="270" w:right="459" w:bottom="1440" w:gutter="0" w:footer="0" w:header="0"/>
        </w:sectPr>
      </w:pPr>
    </w:p>
    <w:bookmarkStart w:id="8" w:name="page9"/>
    <w:bookmarkEnd w:id="8"/>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DEFINITIONS AND OTHER PROVISIONS OF GENERAL APPLICATION</w:t>
      </w:r>
    </w:p>
    <w:p>
      <w:pPr>
        <w:spacing w:after="0" w:line="203" w:lineRule="exact"/>
        <w:rPr>
          <w:sz w:val="20"/>
          <w:szCs w:val="20"/>
          <w:color w:val="auto"/>
        </w:rPr>
      </w:pPr>
    </w:p>
    <w:p>
      <w:pPr>
        <w:ind w:right="1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2.01. </w:t>
      </w:r>
      <w:r>
        <w:rPr>
          <w:rFonts w:ascii="Times New Roman" w:cs="Times New Roman" w:eastAsia="Times New Roman" w:hAnsi="Times New Roman"/>
          <w:sz w:val="18"/>
          <w:szCs w:val="18"/>
          <w:color w:val="auto"/>
        </w:rPr>
        <w:t>Except as may be provided in a Future Supplemental Indenture, for the benefit of the Holders of the Notes but no other series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under the Base Indenture (as supplemented or amended from time to time by one or more indentures supplemental thereto), whether now or hereafter issued and Outstanding, Article One of the Base Indenture shall be amended by adding the following defined terms to Section 101 in appropriate alphabetical sequence, as follows:</w:t>
      </w:r>
    </w:p>
    <w:p>
      <w:pPr>
        <w:spacing w:after="0" w:line="18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Below Investment Grade Rating Event</w:t>
      </w:r>
      <w:r>
        <w:rPr>
          <w:rFonts w:ascii="Times New Roman" w:cs="Times New Roman" w:eastAsia="Times New Roman" w:hAnsi="Times New Roman"/>
          <w:sz w:val="18"/>
          <w:szCs w:val="18"/>
          <w:color w:val="auto"/>
        </w:rPr>
        <w:t xml:space="preserve">” means the Notes are downgraded below Investment Grade by both Rating Agencies on any date from the date of the public notice of an arrangement that results in a Change of Control until the end of the 60-day period following public notice of the occurrence of a Change of Control (which period shall be extended so long as the rating of the Notes is under publicly announced consideration for possible downgrade by either of the Rating Agencies);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Below Investment Grade Rating Event otherwise arising by virtue of a particular reduction in rating shall not be deemed to have occurred in respect of a particular Change of Control (and thus shall not be deemed a Below Investment Grade Rating Event for purposes of the definition of Change of Control Repurchase Event hereunder) if the Rating Agencies making the reduction in rating to which this definition would otherwise apply do not announce or publicly confirm or inform the Trustee in writing at its request that the reduction was the result, in whole or in part, of any event or circumstance comprised of or arising as a result of, or in respect of, the applicable Change of Control (whether or not the applicable Change of Control shall have occurred at the time of the Below Investment Grade Rating Event).</w:t>
      </w:r>
    </w:p>
    <w:p>
      <w:pPr>
        <w:spacing w:after="0" w:line="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the occurrence of any of the following:</w:t>
      </w:r>
    </w:p>
    <w:p>
      <w:pPr>
        <w:spacing w:after="0" w:line="225" w:lineRule="exact"/>
        <w:rPr>
          <w:sz w:val="20"/>
          <w:szCs w:val="20"/>
          <w:color w:val="auto"/>
        </w:rPr>
      </w:pPr>
    </w:p>
    <w:p>
      <w:pPr>
        <w:ind w:right="160" w:firstLine="436"/>
        <w:spacing w:after="0" w:line="258" w:lineRule="auto"/>
        <w:tabs>
          <w:tab w:leader="none" w:pos="6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direct or indirect sale, lease, transfer, conveyance or other disposition (other than by way of merger or consolidation) in one or a series of related transactions, of all or substantially all of the assets of the Company and its Controlled Subsidiaries taken as a whole to any “person” or “group” (as those terms are used in Section 13(d)(3) of the Exchange Act), other than to any Permitted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the avoidance of doubt, a pledge of assets pursuant to any secured debt instrument of the Company or its Controlled Subsidiaries shall not be deemed to be any such sale, lease, transfer, conveyance or disposition;</w:t>
      </w:r>
    </w:p>
    <w:p>
      <w:pPr>
        <w:spacing w:after="0" w:line="183" w:lineRule="exact"/>
        <w:rPr>
          <w:rFonts w:ascii="Times New Roman" w:cs="Times New Roman" w:eastAsia="Times New Roman" w:hAnsi="Times New Roman"/>
          <w:sz w:val="18"/>
          <w:szCs w:val="18"/>
          <w:color w:val="auto"/>
        </w:rPr>
      </w:pPr>
    </w:p>
    <w:p>
      <w:pPr>
        <w:ind w:right="80" w:firstLine="436"/>
        <w:spacing w:after="0" w:line="261" w:lineRule="auto"/>
        <w:tabs>
          <w:tab w:leader="none" w:pos="69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any transaction (including, without limitation, any merger or consolidation) the result of which is that any “person” or “group” (as those terms are used in Section 13(d)(3) of the Exchange Act) (other than any Permitted Holders) becomes the “beneficial owner” (as defined in Rules 13d-3 and 13d-5 promulgated under the Exchange Act), directly or indirectly, of more than 50% of the outstanding Voting Stock of the Company, measured by voting power rather than number of shares; or</w:t>
      </w:r>
    </w:p>
    <w:p>
      <w:pPr>
        <w:spacing w:after="0" w:line="179"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 by the Company’s stockholders of any plan or proposal relating to the liquidation or dissolution of the Company.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 Repurchase Event</w:t>
      </w:r>
      <w:r>
        <w:rPr>
          <w:rFonts w:ascii="Times New Roman" w:cs="Times New Roman" w:eastAsia="Times New Roman" w:hAnsi="Times New Roman"/>
          <w:sz w:val="18"/>
          <w:szCs w:val="18"/>
          <w:color w:val="auto"/>
        </w:rPr>
        <w:t>” means the occurrence of a Change of Control and a Below Investment Grade Rating Event.</w:t>
      </w:r>
    </w:p>
    <w:p>
      <w:pPr>
        <w:spacing w:after="0" w:line="225"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Controlled Subsidiary</w:t>
      </w:r>
      <w:r>
        <w:rPr>
          <w:rFonts w:ascii="Times New Roman" w:cs="Times New Roman" w:eastAsia="Times New Roman" w:hAnsi="Times New Roman"/>
          <w:sz w:val="18"/>
          <w:szCs w:val="18"/>
          <w:color w:val="auto"/>
        </w:rPr>
        <w:t>” means any Subsidiary of the Company, 50% or more of the outstanding equity interests of which are owned by the Company and its direct or indirect Subsidiaries and of which the Company possesses, directly or indirectly, the power to direct or cause the direction of the management or policies, whether through the ownership of voting equity interests, by agreement or otherwise.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Fitch</w:t>
      </w:r>
      <w:r>
        <w:rPr>
          <w:rFonts w:ascii="Times New Roman" w:cs="Times New Roman" w:eastAsia="Times New Roman" w:hAnsi="Times New Roman"/>
          <w:sz w:val="18"/>
          <w:szCs w:val="18"/>
          <w:color w:val="auto"/>
        </w:rPr>
        <w:t>” means Fitch Ratings, Inc., also known as Fitch Ratings, or any successor thereto.</w:t>
      </w:r>
    </w:p>
    <w:p>
      <w:pPr>
        <w:spacing w:after="0" w:line="225" w:lineRule="exact"/>
        <w:rPr>
          <w:sz w:val="20"/>
          <w:szCs w:val="20"/>
          <w:color w:val="auto"/>
        </w:rPr>
      </w:pPr>
    </w:p>
    <w:p>
      <w:pPr>
        <w:ind w:right="160" w:firstLine="440"/>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in the United States set forth in the opinions and pronouncements of the Accounting Principles Board of the American Institute of Certified Public Accountants, the opinions and pronouncements of the Public Company Accounting Oversight Board and the statements and pronouncements of the Financial Accounting Standards Board or in such other statements by such other entity as have been approved by a significant segment of the accounting profession in the United States, which are in effect from time to time.</w:t>
      </w:r>
    </w:p>
    <w:p>
      <w:pPr>
        <w:spacing w:after="0" w:line="180" w:lineRule="exact"/>
        <w:rPr>
          <w:sz w:val="20"/>
          <w:szCs w:val="20"/>
          <w:color w:val="auto"/>
        </w:rPr>
      </w:pPr>
    </w:p>
    <w:p>
      <w:pPr>
        <w:ind w:right="12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means the Investment Company Act of 1940, as amended, and the rules, regulations and interpretations promulgated thereunder, to the extent applicable, and any statute successor thereto.</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- 5 -</w:t>
      </w:r>
    </w:p>
    <w:p>
      <w:pPr>
        <w:sectPr>
          <w:pgSz w:w="11900" w:h="16838" w:orient="portrait"/>
          <w:cols w:equalWidth="0" w:num="1">
            <w:col w:w="11000"/>
          </w:cols>
          <w:pgMar w:left="440" w:top="266" w:right="459" w:bottom="1440" w:gutter="0" w:footer="0" w:header="0"/>
        </w:sectPr>
      </w:pPr>
    </w:p>
    <w:bookmarkStart w:id="9" w:name="page10"/>
    <w:bookmarkEnd w:id="9"/>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Investment Grade</w:t>
      </w:r>
      <w:r>
        <w:rPr>
          <w:rFonts w:ascii="Times New Roman" w:cs="Times New Roman" w:eastAsia="Times New Roman" w:hAnsi="Times New Roman"/>
          <w:sz w:val="18"/>
          <w:szCs w:val="18"/>
          <w:color w:val="auto"/>
        </w:rPr>
        <w:t>” means a rating of BBB- or better by Fitch (or its equivalent under any successor rating categories of Fitch) and Baa3 or better by Moody’s (or its equivalent under any successor rating categories of Moody’s) (or, in each case, if such Rating Agency ceases to rate the Notes for reasons outside of the Company’s control, the equivalent investment grade credit rating from any Rating Agency selected by the Company as a replacement Rating Agency).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 or any successor thereto.</w:t>
      </w:r>
    </w:p>
    <w:p>
      <w:pPr>
        <w:spacing w:after="0" w:line="225" w:lineRule="exact"/>
        <w:rPr>
          <w:sz w:val="20"/>
          <w:szCs w:val="20"/>
          <w:color w:val="auto"/>
        </w:rPr>
      </w:pPr>
    </w:p>
    <w:p>
      <w:pPr>
        <w:ind w:right="1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Holders</w:t>
      </w:r>
      <w:r>
        <w:rPr>
          <w:rFonts w:ascii="Times New Roman" w:cs="Times New Roman" w:eastAsia="Times New Roman" w:hAnsi="Times New Roman"/>
          <w:sz w:val="18"/>
          <w:szCs w:val="18"/>
          <w:color w:val="auto"/>
        </w:rPr>
        <w:t>” means (i) the Company, (ii) one or more of the Company’s Controlled Subsidiaries and (iii) FS/KKR Advisor, LLC, any Affiliate of FS KKR Advisor, LLC or any entity that is managed by FS/KKR Advisor, LLC that is organized under the laws of a jurisdiction located in the United States of America and in the business of managing or advising clients.</w:t>
      </w:r>
    </w:p>
    <w:p>
      <w:pPr>
        <w:spacing w:after="0" w:line="176" w:lineRule="exact"/>
        <w:rPr>
          <w:sz w:val="20"/>
          <w:szCs w:val="20"/>
          <w:color w:val="auto"/>
        </w:rPr>
      </w:pPr>
    </w:p>
    <w:p>
      <w:pPr>
        <w:jc w:val="both"/>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Rating Agency</w:t>
      </w:r>
      <w:r>
        <w:rPr>
          <w:rFonts w:ascii="Times New Roman" w:cs="Times New Roman" w:eastAsia="Times New Roman" w:hAnsi="Times New Roman"/>
          <w:sz w:val="18"/>
          <w:szCs w:val="18"/>
          <w:color w:val="auto"/>
        </w:rPr>
        <w:t>” means (1) each of Fitch and Moody’s; and (2) if either Fitch or Moody’s ceases to rate the Notes or fails to make a rating of the Notes publicly available for reasons outside of the Company’s control, a “nationally recognized statistical rating organization” as defined in Section 3(a) (62) of the Exchange Act selected by the Company as a replacement agency for Fitch or Moody’s, or both, as the case may be.</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Significant Subsidiary</w:t>
      </w:r>
      <w:r>
        <w:rPr>
          <w:rFonts w:ascii="Times New Roman" w:cs="Times New Roman" w:eastAsia="Times New Roman" w:hAnsi="Times New Roman"/>
          <w:sz w:val="18"/>
          <w:szCs w:val="18"/>
          <w:color w:val="auto"/>
        </w:rPr>
        <w:t>” means any Subsidiary that would be a “significant subsidiary” as defined in Article 1, Rule 1-02 of Regulation S-X under the Exchange Act, as such regulation is in effect on the date of this Indenture (but excluding any Subsidiary which is (a) a non-recourse or limited recourse Subsidiary, (b) a bankruptcy remote special purpose vehicle or (c) is not consolidated with the Company for purposes of GAAP).</w:t>
      </w:r>
    </w:p>
    <w:p>
      <w:pPr>
        <w:spacing w:after="0" w:line="176" w:lineRule="exact"/>
        <w:rPr>
          <w:sz w:val="20"/>
          <w:szCs w:val="20"/>
          <w:color w:val="auto"/>
        </w:rPr>
      </w:pPr>
    </w:p>
    <w:p>
      <w:pPr>
        <w:ind w:right="340" w:firstLine="440"/>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Stock</w:t>
      </w:r>
      <w:r>
        <w:rPr>
          <w:rFonts w:ascii="Times New Roman" w:cs="Times New Roman" w:eastAsia="Times New Roman" w:hAnsi="Times New Roman"/>
          <w:sz w:val="18"/>
          <w:szCs w:val="18"/>
          <w:color w:val="auto"/>
        </w:rPr>
        <w:t>” as applied to stock of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spacing w:after="0" w:line="172"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2.02. </w:t>
      </w:r>
      <w:r>
        <w:rPr>
          <w:rFonts w:ascii="Times New Roman" w:cs="Times New Roman" w:eastAsia="Times New Roman" w:hAnsi="Times New Roman"/>
          <w:sz w:val="18"/>
          <w:szCs w:val="18"/>
          <w:color w:val="auto"/>
        </w:rPr>
        <w:t>Except as may be provided in a Future Supplemental Indenture, for the benefit of the Holders of the Notes but no other series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under the Base Indenture (as supplemented or amended from time to time by one or more indentures supplemental thereto), whether now or hereafter issued and Outstanding, Article One of the Base Indenture shall be amended by amending and restating the definitions of “Business Day” and “Subsidiary” in Section 101 as follows:</w:t>
      </w:r>
    </w:p>
    <w:p>
      <w:pPr>
        <w:spacing w:after="0" w:line="180"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means, with respect to any Note, any day other than a Saturday, Sunday or a day on which banking institutions in New York are authorized or obligated by law or executive order to close.</w:t>
      </w:r>
    </w:p>
    <w:p>
      <w:pPr>
        <w:spacing w:after="0" w:line="162"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(1) any corporation a majority of the outstanding voting stock of which is owned, directly or indirectly, by the Company or by one or more other Subsidiaries of the Company, (2) any other Person (other than a corporation) in which such Person, one or more Subsidiaries of such Person, or such Person and one or more Subsidiaries of such Person, directly or indirectly, at the date of determination thereof has a majority ownership interest, or (3) a partnership in which such Person or Subsidiary of such Person is, at the time, a general partner and in which such Person, directly or indirectly, at the date of determination thereof has a majority ownership interest. For the purposes of this definition, “voting stock” mean stock having voting power for the election of directors, whether at all times or only so long as no senior class of stock has such voting power by reason of any contingency. In addition, for purposes of this definition, “Subsidiary” shall exclude any investments held by the Company in the ordinary course of business which are not, under GAAP, consolidated on the financial statements of the Company and its Subsidiaries.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FORMS</w:t>
      </w:r>
    </w:p>
    <w:p>
      <w:pPr>
        <w:spacing w:after="0" w:line="203" w:lineRule="exact"/>
        <w:rPr>
          <w:sz w:val="20"/>
          <w:szCs w:val="20"/>
          <w:color w:val="auto"/>
        </w:rPr>
      </w:pPr>
    </w:p>
    <w:p>
      <w:pPr>
        <w:ind w:right="16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3.01. </w:t>
      </w:r>
      <w:r>
        <w:rPr>
          <w:rFonts w:ascii="Times New Roman" w:cs="Times New Roman" w:eastAsia="Times New Roman" w:hAnsi="Times New Roman"/>
          <w:sz w:val="18"/>
          <w:szCs w:val="18"/>
          <w:color w:val="auto"/>
        </w:rPr>
        <w:t>Except as may be provided in a Future Supplemental Indenture, for the benefit of the Holders of the Notes but no other series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under the Base Indenture (as supplemented or amended from time to time by one or more indentures supplemental thereto), whether now or hereafter issued and Outstanding, Article Two of the Base Indenture shall be amended by adding the following new Section 204 thereto, as set forth below:</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- 6 -</w:t>
      </w:r>
    </w:p>
    <w:p>
      <w:pPr>
        <w:sectPr>
          <w:pgSz w:w="11900" w:h="16838" w:orient="portrait"/>
          <w:cols w:equalWidth="0" w:num="1">
            <w:col w:w="10980"/>
          </w:cols>
          <w:pgMar w:left="440" w:top="270" w:right="479" w:bottom="1440" w:gutter="0" w:footer="0" w:header="0"/>
        </w:sectPr>
      </w:pPr>
    </w:p>
    <w:bookmarkStart w:id="10" w:name="page11"/>
    <w:bookmarkEnd w:id="1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204. </w:t>
      </w:r>
      <w:r>
        <w:rPr>
          <w:rFonts w:ascii="Times New Roman" w:cs="Times New Roman" w:eastAsia="Times New Roman" w:hAnsi="Times New Roman"/>
          <w:sz w:val="18"/>
          <w:szCs w:val="18"/>
          <w:u w:val="single" w:color="auto"/>
          <w:color w:val="auto"/>
        </w:rPr>
        <w:t>Certificated Notes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0" w:right="220" w:firstLine="423"/>
        <w:spacing w:after="0" w:line="282" w:lineRule="auto"/>
        <w:rPr>
          <w:sz w:val="20"/>
          <w:szCs w:val="20"/>
          <w:color w:val="auto"/>
        </w:rPr>
      </w:pPr>
      <w:r>
        <w:rPr>
          <w:rFonts w:ascii="Times New Roman" w:cs="Times New Roman" w:eastAsia="Times New Roman" w:hAnsi="Times New Roman"/>
          <w:sz w:val="18"/>
          <w:szCs w:val="18"/>
          <w:color w:val="auto"/>
        </w:rPr>
        <w:t>Notwithstanding anything to the contrary in the Indenture, Notes in physical, certificated form will be issued and delivered to each person that the Depositary identifies as a beneficial owner of the related Notes only if:</w:t>
      </w:r>
    </w:p>
    <w:p>
      <w:pPr>
        <w:spacing w:after="0" w:line="54" w:lineRule="exact"/>
        <w:rPr>
          <w:sz w:val="20"/>
          <w:szCs w:val="20"/>
          <w:color w:val="auto"/>
        </w:rPr>
      </w:pPr>
    </w:p>
    <w:p>
      <w:pPr>
        <w:ind w:left="440" w:firstLine="419"/>
        <w:spacing w:after="0" w:line="282" w:lineRule="auto"/>
        <w:tabs>
          <w:tab w:leader="none" w:pos="110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notifies the Company at any time that it is unwilling or unable to continue as depositary for the Notes in global form and a successor depositary is not appointed within 90 days;</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Depositary ceases to be registered as a clearing agency under the Exchange Act and a successor depositary is not appointed within 90</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or</w:t>
      </w:r>
    </w:p>
    <w:p>
      <w:pPr>
        <w:spacing w:after="0" w:line="98" w:lineRule="exact"/>
        <w:rPr>
          <w:rFonts w:ascii="Times New Roman" w:cs="Times New Roman" w:eastAsia="Times New Roman" w:hAnsi="Times New Roman"/>
          <w:sz w:val="18"/>
          <w:szCs w:val="18"/>
          <w:color w:val="auto"/>
        </w:rPr>
      </w:pPr>
    </w:p>
    <w:p>
      <w:pPr>
        <w:ind w:left="440" w:right="140" w:firstLine="419"/>
        <w:spacing w:after="0" w:line="282" w:lineRule="auto"/>
        <w:tabs>
          <w:tab w:leader="none" w:pos="110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Event of Default with respect to the Notes has occurred and is continuing and such beneficial owner requests that its Notes be issued in physical, certificated form.”</w:t>
      </w:r>
    </w:p>
    <w:p>
      <w:pPr>
        <w:spacing w:after="0" w:line="374"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REMEDIES</w:t>
      </w:r>
    </w:p>
    <w:p>
      <w:pPr>
        <w:spacing w:after="0" w:line="203" w:lineRule="exact"/>
        <w:rPr>
          <w:sz w:val="20"/>
          <w:szCs w:val="20"/>
          <w:color w:val="auto"/>
        </w:rPr>
      </w:pPr>
    </w:p>
    <w:p>
      <w:pPr>
        <w:ind w:right="40" w:firstLine="440"/>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Section 4.01. </w:t>
      </w:r>
      <w:r>
        <w:rPr>
          <w:rFonts w:ascii="Times New Roman" w:cs="Times New Roman" w:eastAsia="Times New Roman" w:hAnsi="Times New Roman"/>
          <w:sz w:val="17"/>
          <w:szCs w:val="17"/>
          <w:color w:val="auto"/>
        </w:rPr>
        <w:t>Except as may be provided in a Future Supplemental Indenture, for the benefit of the Holders of the Notes but no other series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Securities under the Base Indenture (as supplemented or amended from time to time by one or more indentures supplemental thereto), whether now or hereafter issued and Outstanding, Article Five of the Base Indenture shall be amended by replacing clause (2) of Section 501 thereof with the following:</w:t>
      </w:r>
    </w:p>
    <w:p>
      <w:pPr>
        <w:spacing w:after="0" w:line="62" w:lineRule="exact"/>
        <w:rPr>
          <w:sz w:val="20"/>
          <w:szCs w:val="20"/>
          <w:color w:val="auto"/>
        </w:rPr>
      </w:pPr>
    </w:p>
    <w:p>
      <w:pPr>
        <w:ind w:left="960" w:right="360" w:hanging="539"/>
        <w:spacing w:after="0" w:line="282" w:lineRule="auto"/>
        <w:tabs>
          <w:tab w:leader="none" w:pos="940" w:val="left"/>
        </w:tabs>
        <w:rPr>
          <w:sz w:val="20"/>
          <w:szCs w:val="20"/>
          <w:color w:val="auto"/>
        </w:rPr>
      </w:pPr>
      <w:r>
        <w:rPr>
          <w:rFonts w:ascii="Times New Roman" w:cs="Times New Roman" w:eastAsia="Times New Roman" w:hAnsi="Times New Roman"/>
          <w:sz w:val="18"/>
          <w:szCs w:val="18"/>
          <w:color w:val="auto"/>
        </w:rPr>
        <w:t>“(2)</w:t>
        <w:tab/>
        <w:t>default in the payment of the principal of (or premium, if any, on) any Note when it becomes due and payable at its Maturity including upon any Redemption Date or required repurchase date; or”</w:t>
      </w:r>
    </w:p>
    <w:p>
      <w:pPr>
        <w:spacing w:after="0" w:line="158" w:lineRule="exact"/>
        <w:rPr>
          <w:sz w:val="20"/>
          <w:szCs w:val="20"/>
          <w:color w:val="auto"/>
        </w:rPr>
      </w:pPr>
    </w:p>
    <w:p>
      <w:pPr>
        <w:ind w:right="1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4.02. </w:t>
      </w:r>
      <w:r>
        <w:rPr>
          <w:rFonts w:ascii="Times New Roman" w:cs="Times New Roman" w:eastAsia="Times New Roman" w:hAnsi="Times New Roman"/>
          <w:sz w:val="18"/>
          <w:szCs w:val="18"/>
          <w:color w:val="auto"/>
        </w:rPr>
        <w:t>Except as may be provided in a Future Supplemental Indenture, for the benefit of the Holders of the Notes but no other series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under the Base Indenture (as supplemented or amended from time to time by one or more indentures supplemental thereto), whether now or hereafter issued and Outstanding, Section 501 of the Base Indenture shall be amended by replacing clause (4) thereof with the following:</w:t>
      </w:r>
    </w:p>
    <w:p>
      <w:pPr>
        <w:spacing w:after="0" w:line="80" w:lineRule="exact"/>
        <w:rPr>
          <w:sz w:val="20"/>
          <w:szCs w:val="20"/>
          <w:color w:val="auto"/>
        </w:rPr>
      </w:pPr>
    </w:p>
    <w:p>
      <w:pPr>
        <w:ind w:left="960" w:right="60" w:hanging="539"/>
        <w:spacing w:after="0" w:line="256" w:lineRule="auto"/>
        <w:tabs>
          <w:tab w:leader="none" w:pos="940" w:val="left"/>
        </w:tabs>
        <w:rPr>
          <w:sz w:val="20"/>
          <w:szCs w:val="20"/>
          <w:color w:val="auto"/>
        </w:rPr>
      </w:pPr>
      <w:r>
        <w:rPr>
          <w:rFonts w:ascii="Times New Roman" w:cs="Times New Roman" w:eastAsia="Times New Roman" w:hAnsi="Times New Roman"/>
          <w:sz w:val="18"/>
          <w:szCs w:val="18"/>
          <w:color w:val="auto"/>
        </w:rPr>
        <w:t>“(4)</w:t>
        <w:tab/>
        <w:t>default in the performance, or breach, of any covenant or agreement of the Company in this Indenture or the Notes (other than a covenant or agreement a default in whose performance or whose breach is elsewhere in this Section specifically dealt with or which has expressly been included in this Indenture solely for the benefit of a series of securities other than the Notes), and continuance of such default or breach for a period of 60 consecutive days after there has been given, by registered or certified mail, to the Company by the Trustee or to the Company and the Trustee by the Holders of at least 25% in principal amount of the Outstanding Notes a written notice specifying such default or breach ad requiring it to be remedied and stating that such notice is a “Notice of Default” hereunder; or”</w:t>
      </w:r>
    </w:p>
    <w:p>
      <w:pPr>
        <w:spacing w:after="0" w:line="183" w:lineRule="exact"/>
        <w:rPr>
          <w:sz w:val="20"/>
          <w:szCs w:val="20"/>
          <w:color w:val="auto"/>
        </w:rPr>
      </w:pPr>
    </w:p>
    <w:p>
      <w:pPr>
        <w:ind w:right="1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4.03. </w:t>
      </w:r>
      <w:r>
        <w:rPr>
          <w:rFonts w:ascii="Times New Roman" w:cs="Times New Roman" w:eastAsia="Times New Roman" w:hAnsi="Times New Roman"/>
          <w:sz w:val="18"/>
          <w:szCs w:val="18"/>
          <w:color w:val="auto"/>
        </w:rPr>
        <w:t>Except as may be provided in a Future Supplemental Indenture, for the benefit of the Holders of the Notes but no other series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under the Base Indenture (as supplemented or amended from time to time by one or more indentures supplemental thereto), whether now or hereafter issued and Outstanding, Article Five of the Base Indenture shall be amended by adding as clause (9) of Section 501 thereof the following:</w:t>
      </w:r>
    </w:p>
    <w:p>
      <w:pPr>
        <w:spacing w:after="0" w:line="80" w:lineRule="exact"/>
        <w:rPr>
          <w:sz w:val="20"/>
          <w:szCs w:val="20"/>
          <w:color w:val="auto"/>
        </w:rPr>
      </w:pPr>
    </w:p>
    <w:p>
      <w:pPr>
        <w:ind w:left="960" w:right="20" w:hanging="539"/>
        <w:spacing w:after="0" w:line="261" w:lineRule="auto"/>
        <w:tabs>
          <w:tab w:leader="none" w:pos="940" w:val="left"/>
        </w:tabs>
        <w:rPr>
          <w:sz w:val="20"/>
          <w:szCs w:val="20"/>
          <w:color w:val="auto"/>
        </w:rPr>
      </w:pPr>
      <w:r>
        <w:rPr>
          <w:rFonts w:ascii="Times New Roman" w:cs="Times New Roman" w:eastAsia="Times New Roman" w:hAnsi="Times New Roman"/>
          <w:sz w:val="18"/>
          <w:szCs w:val="18"/>
          <w:color w:val="auto"/>
        </w:rPr>
        <w:t>“(9)</w:t>
        <w:tab/>
        <w:t>default by the Company or any of its Significant Subsidiaries, with respect to any mortgage, agreement or other instrument under which there may be outstanding, or by which there may be secured or evidenced, any indebtedness for money borrowed in excess of $100 million in the aggregate of the Company and/or any such Significant Subsidiary, whether such indebtedness now exists or shall hereafter be created (i) resulting in such indebtedness becoming or being declared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- 7 -</w:t>
      </w:r>
    </w:p>
    <w:p>
      <w:pPr>
        <w:sectPr>
          <w:pgSz w:w="11900" w:h="16838" w:orient="portrait"/>
          <w:cols w:equalWidth="0" w:num="1">
            <w:col w:w="11000"/>
          </w:cols>
          <w:pgMar w:left="440" w:top="270" w:right="459" w:bottom="1440" w:gutter="0" w:footer="0" w:header="0"/>
        </w:sectPr>
      </w:pPr>
    </w:p>
    <w:bookmarkStart w:id="11" w:name="page12"/>
    <w:bookmarkEnd w:id="11"/>
    <w:p>
      <w:pPr>
        <w:ind w:left="980"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due and payable or (ii) constituting a failure to pay the principal or interest of any such debt when due and payable at its stated maturity, upon required repurchase, upon declaration of acceleration or otherwise, unless, in either case, such indebtedness is discharged, or such acceleration is rescinded, stayed or annulled, within a period of 30 calendar days after written notice of such failure is given to the Company by the Trustee or to the Company and the Trustee by the Holders of at least 25% in aggregate principal amount of the Notes then Outstanding.”</w:t>
      </w:r>
    </w:p>
    <w:p>
      <w:pPr>
        <w:spacing w:after="0" w:line="179" w:lineRule="exact"/>
        <w:rPr>
          <w:sz w:val="20"/>
          <w:szCs w:val="20"/>
          <w:color w:val="auto"/>
        </w:rPr>
      </w:pPr>
    </w:p>
    <w:p>
      <w:pPr>
        <w:ind w:right="18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Section 4.04. </w:t>
      </w:r>
      <w:r>
        <w:rPr>
          <w:rFonts w:ascii="Times New Roman" w:cs="Times New Roman" w:eastAsia="Times New Roman" w:hAnsi="Times New Roman"/>
          <w:sz w:val="18"/>
          <w:szCs w:val="18"/>
          <w:color w:val="auto"/>
        </w:rPr>
        <w:t>Except as may be provided in a Future Supplemental Indenture, for the benefit of Holders of the Notes but no other series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under the Base Indenture (as supplemented or amended from time to time by one or more indentures supplemental thereto), whether now or hereafter issued and Outstanding, Section 501 of the Base Indenture shall be amended by replacing clause (7) thereof with the following:</w:t>
      </w:r>
    </w:p>
    <w:p>
      <w:pPr>
        <w:spacing w:after="0" w:line="80" w:lineRule="exact"/>
        <w:rPr>
          <w:sz w:val="20"/>
          <w:szCs w:val="20"/>
          <w:color w:val="auto"/>
        </w:rPr>
      </w:pPr>
    </w:p>
    <w:p>
      <w:pPr>
        <w:jc w:val="both"/>
        <w:ind w:left="960" w:right="200" w:hanging="539"/>
        <w:spacing w:after="0" w:line="266" w:lineRule="auto"/>
        <w:tabs>
          <w:tab w:leader="none" w:pos="940" w:val="left"/>
        </w:tabs>
        <w:rPr>
          <w:sz w:val="20"/>
          <w:szCs w:val="20"/>
          <w:color w:val="auto"/>
        </w:rPr>
      </w:pPr>
      <w:r>
        <w:rPr>
          <w:rFonts w:ascii="Times New Roman" w:cs="Times New Roman" w:eastAsia="Times New Roman" w:hAnsi="Times New Roman"/>
          <w:sz w:val="18"/>
          <w:szCs w:val="18"/>
          <w:color w:val="auto"/>
        </w:rPr>
        <w:t>“(7)</w:t>
        <w:tab/>
        <w:t>if, pursuant to Section 18(a)(1)(C)(ii) and Section 61 of the Investment Company Act, on the last business day of each of 24 consecutive calendar months, any class of securities shall have an asset coverage (as such term is used in the Investment Company Act) of less than 100% giving effect to any exemptive relief granted to the Company by the Commission;”</w:t>
      </w:r>
    </w:p>
    <w:p>
      <w:pPr>
        <w:spacing w:after="0" w:line="172" w:lineRule="exact"/>
        <w:rPr>
          <w:sz w:val="20"/>
          <w:szCs w:val="20"/>
          <w:color w:val="auto"/>
        </w:rPr>
      </w:pPr>
    </w:p>
    <w:p>
      <w:pPr>
        <w:ind w:right="1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4.05. </w:t>
      </w:r>
      <w:r>
        <w:rPr>
          <w:rFonts w:ascii="Times New Roman" w:cs="Times New Roman" w:eastAsia="Times New Roman" w:hAnsi="Times New Roman"/>
          <w:sz w:val="18"/>
          <w:szCs w:val="18"/>
          <w:color w:val="auto"/>
        </w:rPr>
        <w:t>Except as may be provided in a Future Supplemental Indenture, for the benefit of Holders of the Notes but no other series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under the Base Indenture (as supplemented or amended from time to time by one or more indentures supplemental thereto), whether now or hereafter issued and Outstanding, Article Five of the Base Indenture shall be amended by amending clause (6) of Section 501 thereof as follows: the words “90 consecutive days” in the final clause thereof shall be replaced with the words “60 consecutive days”.</w:t>
      </w:r>
    </w:p>
    <w:p>
      <w:pPr>
        <w:spacing w:after="0" w:line="176" w:lineRule="exact"/>
        <w:rPr>
          <w:sz w:val="20"/>
          <w:szCs w:val="20"/>
          <w:color w:val="auto"/>
        </w:rPr>
      </w:pPr>
    </w:p>
    <w:p>
      <w:pPr>
        <w:ind w:right="1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4.06. </w:t>
      </w:r>
      <w:r>
        <w:rPr>
          <w:rFonts w:ascii="Times New Roman" w:cs="Times New Roman" w:eastAsia="Times New Roman" w:hAnsi="Times New Roman"/>
          <w:sz w:val="18"/>
          <w:szCs w:val="18"/>
          <w:color w:val="auto"/>
        </w:rPr>
        <w:t>Except as may be provided in a Future Supplemental Indenture, for the benefit of the Holders of the Notes but no other series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under the Base Indenture (as supplemented or amended from time to time by one or more indentures supplemental thereto), whether now or hereafter issued and Outstanding, Article Five of the Base Indenture shall be amended by replacing the first paragraph of Section 502 thereof with the following:</w:t>
      </w:r>
    </w:p>
    <w:p>
      <w:pPr>
        <w:spacing w:after="0" w:line="72" w:lineRule="exact"/>
        <w:rPr>
          <w:sz w:val="20"/>
          <w:szCs w:val="20"/>
          <w:color w:val="auto"/>
        </w:rPr>
      </w:pPr>
    </w:p>
    <w:p>
      <w:pPr>
        <w:ind w:left="440"/>
        <w:spacing w:after="0" w:line="256" w:lineRule="auto"/>
        <w:rPr>
          <w:sz w:val="20"/>
          <w:szCs w:val="20"/>
          <w:color w:val="auto"/>
        </w:rPr>
      </w:pPr>
      <w:r>
        <w:rPr>
          <w:rFonts w:ascii="Times New Roman" w:cs="Times New Roman" w:eastAsia="Times New Roman" w:hAnsi="Times New Roman"/>
          <w:sz w:val="18"/>
          <w:szCs w:val="18"/>
          <w:color w:val="auto"/>
        </w:rPr>
        <w:t>“If an Event of Default with respect to the Notes occurs and is continuing, then and in every such case (other than an Event of Default specified in Section 501(5) or 501(6)), the Trustee or the Holders of not less than 25% in principal amount of the Outstanding Notes may (and the Trustee shall at the request of such Holders) declare the principal of all the Outstanding Notes to be due and payable immediately, by a notice in writing to the Company (and to the Trustee if given by the Holders), and upon any such declaration such principal or specified portion thereof shall become immediately due and payable; provided that 100% of the principal of, and accrued and unpaid interest on, the Notes will automatically become due and payable in the case of an Event of Default specified in Section 501(5) or 501(6) hereof.”</w:t>
      </w:r>
    </w:p>
    <w:p>
      <w:pPr>
        <w:spacing w:after="0" w:line="183" w:lineRule="exact"/>
        <w:rPr>
          <w:sz w:val="20"/>
          <w:szCs w:val="20"/>
          <w:color w:val="auto"/>
        </w:rPr>
      </w:pPr>
    </w:p>
    <w:p>
      <w:pPr>
        <w:ind w:right="40" w:firstLine="440"/>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Section 4.07. </w:t>
      </w:r>
      <w:r>
        <w:rPr>
          <w:rFonts w:ascii="Times New Roman" w:cs="Times New Roman" w:eastAsia="Times New Roman" w:hAnsi="Times New Roman"/>
          <w:sz w:val="17"/>
          <w:szCs w:val="17"/>
          <w:color w:val="auto"/>
        </w:rPr>
        <w:t>Except as may be provided in a Future Supplemental Indenture, for the benefit of Holders of the Notes but no other series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Securities under the Base Indenture (as supplemented or amended from time to time by one or more indentures supplemental thereto), whether now or hereafter issued and Outstanding, Article Five of the Base Indenture shall be amended by replacing clause (3) of Section 512 thereof with the following:</w:t>
      </w:r>
    </w:p>
    <w:p>
      <w:pPr>
        <w:spacing w:after="0" w:line="62" w:lineRule="exact"/>
        <w:rPr>
          <w:sz w:val="20"/>
          <w:szCs w:val="20"/>
          <w:color w:val="auto"/>
        </w:rPr>
      </w:pPr>
    </w:p>
    <w:p>
      <w:pPr>
        <w:ind w:left="960" w:right="360" w:hanging="539"/>
        <w:spacing w:after="0" w:line="282" w:lineRule="auto"/>
        <w:tabs>
          <w:tab w:leader="none" w:pos="940" w:val="left"/>
        </w:tabs>
        <w:rPr>
          <w:sz w:val="20"/>
          <w:szCs w:val="20"/>
          <w:color w:val="auto"/>
        </w:rPr>
      </w:pPr>
      <w:r>
        <w:rPr>
          <w:rFonts w:ascii="Times New Roman" w:cs="Times New Roman" w:eastAsia="Times New Roman" w:hAnsi="Times New Roman"/>
          <w:sz w:val="18"/>
          <w:szCs w:val="18"/>
          <w:color w:val="auto"/>
        </w:rPr>
        <w:t>“(3)</w:t>
        <w:tab/>
        <w:t>the Trustee need not take any action that it determines in good faith may involve it in personal liability or be unjustly prejudicial to the Holders of the Notes not consenting; and”</w:t>
      </w: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TRUSTEE</w:t>
      </w:r>
    </w:p>
    <w:p>
      <w:pPr>
        <w:spacing w:after="0" w:line="203" w:lineRule="exact"/>
        <w:rPr>
          <w:sz w:val="20"/>
          <w:szCs w:val="20"/>
          <w:color w:val="auto"/>
        </w:rPr>
      </w:pPr>
    </w:p>
    <w:p>
      <w:pPr>
        <w:ind w:right="18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5.01. </w:t>
      </w:r>
      <w:r>
        <w:rPr>
          <w:rFonts w:ascii="Times New Roman" w:cs="Times New Roman" w:eastAsia="Times New Roman" w:hAnsi="Times New Roman"/>
          <w:sz w:val="18"/>
          <w:szCs w:val="18"/>
          <w:color w:val="auto"/>
        </w:rPr>
        <w:t>Except as may be provided in a Future Supplemental Indenture, for the benefit of Holders of the Notes but no other series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under the Base Indenture (as supplemented or amended from time to time by one or more indentures supplemental thereto), whether now of hereafter issued and Outstanding, Article Six of the Base Indenture shall be amended by replacing the final proviso of Section 601 thereof with the following:</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- 8 -</w:t>
      </w:r>
    </w:p>
    <w:p>
      <w:pPr>
        <w:sectPr>
          <w:pgSz w:w="11900" w:h="16838" w:orient="portrait"/>
          <w:cols w:equalWidth="0" w:num="1">
            <w:col w:w="11000"/>
          </w:cols>
          <w:pgMar w:left="440" w:top="270" w:right="459" w:bottom="1440" w:gutter="0" w:footer="0" w:header="0"/>
        </w:sectPr>
      </w:pPr>
    </w:p>
    <w:bookmarkStart w:id="12" w:name="page13"/>
    <w:bookmarkEnd w:id="12"/>
    <w:p>
      <w:pPr>
        <w:ind w:left="984" w:right="6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“and </w:t>
      </w:r>
      <w:r>
        <w:rPr>
          <w:rFonts w:ascii="Times New Roman" w:cs="Times New Roman" w:eastAsia="Times New Roman" w:hAnsi="Times New Roman"/>
          <w:sz w:val="18"/>
          <w:szCs w:val="18"/>
          <w:u w:val="single" w:color="auto"/>
          <w:color w:val="auto"/>
        </w:rPr>
        <w:t>provided further</w:t>
      </w:r>
      <w:r>
        <w:rPr>
          <w:rFonts w:ascii="Times New Roman" w:cs="Times New Roman" w:eastAsia="Times New Roman" w:hAnsi="Times New Roman"/>
          <w:sz w:val="18"/>
          <w:szCs w:val="18"/>
          <w:color w:val="auto"/>
        </w:rPr>
        <w:t xml:space="preserve"> that in the case of any Default or breach of the character specified in Section 501(4) with respect to the Securities of such series, no such notice to Holders shall be given until at least 60 days after the occurrence thereof”</w:t>
      </w:r>
    </w:p>
    <w:p>
      <w:pPr>
        <w:spacing w:after="0" w:line="374" w:lineRule="exact"/>
        <w:rPr>
          <w:sz w:val="20"/>
          <w:szCs w:val="20"/>
          <w:color w:val="auto"/>
        </w:rPr>
      </w:pPr>
    </w:p>
    <w:p>
      <w:pPr>
        <w:ind w:left="4984"/>
        <w:spacing w:after="0"/>
        <w:rPr>
          <w:sz w:val="20"/>
          <w:szCs w:val="20"/>
          <w:color w:val="auto"/>
        </w:rPr>
      </w:pPr>
      <w:r>
        <w:rPr>
          <w:rFonts w:ascii="Times New Roman" w:cs="Times New Roman" w:eastAsia="Times New Roman" w:hAnsi="Times New Roman"/>
          <w:sz w:val="18"/>
          <w:szCs w:val="18"/>
          <w:b w:val="1"/>
          <w:bCs w:val="1"/>
          <w:color w:val="auto"/>
        </w:rPr>
        <w:t>ARTICLE VI</w:t>
      </w:r>
    </w:p>
    <w:p>
      <w:pPr>
        <w:spacing w:after="0" w:line="31" w:lineRule="exact"/>
        <w:rPr>
          <w:sz w:val="20"/>
          <w:szCs w:val="20"/>
          <w:color w:val="auto"/>
        </w:rPr>
      </w:pPr>
    </w:p>
    <w:p>
      <w:pPr>
        <w:ind w:left="4944"/>
        <w:spacing w:after="0"/>
        <w:rPr>
          <w:sz w:val="20"/>
          <w:szCs w:val="20"/>
          <w:color w:val="auto"/>
        </w:rPr>
      </w:pPr>
      <w:r>
        <w:rPr>
          <w:rFonts w:ascii="Times New Roman" w:cs="Times New Roman" w:eastAsia="Times New Roman" w:hAnsi="Times New Roman"/>
          <w:sz w:val="18"/>
          <w:szCs w:val="18"/>
          <w:b w:val="1"/>
          <w:bCs w:val="1"/>
          <w:color w:val="auto"/>
        </w:rPr>
        <w:t>COVENANTS</w:t>
      </w:r>
    </w:p>
    <w:p>
      <w:pPr>
        <w:spacing w:after="0" w:line="203" w:lineRule="exact"/>
        <w:rPr>
          <w:sz w:val="20"/>
          <w:szCs w:val="20"/>
          <w:color w:val="auto"/>
        </w:rPr>
      </w:pPr>
    </w:p>
    <w:p>
      <w:pPr>
        <w:ind w:left="4" w:firstLine="440"/>
        <w:spacing w:after="0" w:line="291" w:lineRule="auto"/>
        <w:rPr>
          <w:sz w:val="20"/>
          <w:szCs w:val="20"/>
          <w:color w:val="auto"/>
        </w:rPr>
      </w:pPr>
      <w:r>
        <w:rPr>
          <w:rFonts w:ascii="Times New Roman" w:cs="Times New Roman" w:eastAsia="Times New Roman" w:hAnsi="Times New Roman"/>
          <w:sz w:val="17"/>
          <w:szCs w:val="17"/>
          <w:b w:val="1"/>
          <w:bCs w:val="1"/>
          <w:color w:val="auto"/>
        </w:rPr>
        <w:t xml:space="preserve">Section 6.01. </w:t>
      </w:r>
      <w:r>
        <w:rPr>
          <w:rFonts w:ascii="Times New Roman" w:cs="Times New Roman" w:eastAsia="Times New Roman" w:hAnsi="Times New Roman"/>
          <w:sz w:val="17"/>
          <w:szCs w:val="17"/>
          <w:color w:val="auto"/>
        </w:rPr>
        <w:t>Except as may be provided in a Future Supplemental Indenture, for the benefit of Holders of the Notes but no other series of</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Securities under the Base Indenture (as supplemented or amended from time to time by one or more indentures supplemental thereto), whether now or hereafter issued and Outstanding, Article Ten of the Base Indenture shall be amended by replacing clause (1) of Section 1005 thereof with the following:</w:t>
      </w:r>
    </w:p>
    <w:p>
      <w:pPr>
        <w:spacing w:after="0" w:line="62" w:lineRule="exact"/>
        <w:rPr>
          <w:sz w:val="20"/>
          <w:szCs w:val="20"/>
          <w:color w:val="auto"/>
        </w:rPr>
      </w:pPr>
    </w:p>
    <w:p>
      <w:pPr>
        <w:ind w:left="964" w:right="140" w:hanging="539"/>
        <w:spacing w:after="0" w:line="261" w:lineRule="auto"/>
        <w:tabs>
          <w:tab w:leader="none" w:pos="944" w:val="left"/>
        </w:tabs>
        <w:rPr>
          <w:sz w:val="20"/>
          <w:szCs w:val="20"/>
          <w:color w:val="auto"/>
        </w:rPr>
      </w:pPr>
      <w:r>
        <w:rPr>
          <w:rFonts w:ascii="Times New Roman" w:cs="Times New Roman" w:eastAsia="Times New Roman" w:hAnsi="Times New Roman"/>
          <w:sz w:val="18"/>
          <w:szCs w:val="18"/>
          <w:color w:val="auto"/>
        </w:rPr>
        <w:t>“(1)</w:t>
        <w:tab/>
        <w:t>The Company will deliver to the Trustee within 120 days after the end of each fiscal year ending after the date hereof (which fiscal year ends on December 31), so long as any Notes are Outstanding hereunder, a brief Officers’ Certificate as to the knowledge of the signers of the Company’s compliance with all of the terms, provisions or conditions of this Indenture. For purposes of this Section 1005, such compliance shall be determined without regard to any period of grace or requirement of notice under this Indenture.”</w:t>
      </w:r>
    </w:p>
    <w:p>
      <w:pPr>
        <w:spacing w:after="0" w:line="176" w:lineRule="exact"/>
        <w:rPr>
          <w:sz w:val="20"/>
          <w:szCs w:val="20"/>
          <w:color w:val="auto"/>
        </w:rPr>
      </w:pPr>
    </w:p>
    <w:p>
      <w:pPr>
        <w:ind w:left="4"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6.02. </w:t>
      </w:r>
      <w:r>
        <w:rPr>
          <w:rFonts w:ascii="Times New Roman" w:cs="Times New Roman" w:eastAsia="Times New Roman" w:hAnsi="Times New Roman"/>
          <w:sz w:val="18"/>
          <w:szCs w:val="18"/>
          <w:color w:val="auto"/>
        </w:rPr>
        <w:t>Except as may be provided in a Future Supplemental Indenture, for the benefit of the Holders of the Notes but no other series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Securities under the Base Indenture (as supplemented or amended from time to time by one or more indentures supplemental thereto), whether now or hereafter issued and Outstanding, Article Ten of the Base Indenture shall be amended by adding the following new Sections 1007 and 1008 thereto, each as set forth below:</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1007 </w:t>
      </w:r>
      <w:r>
        <w:rPr>
          <w:rFonts w:ascii="Times New Roman" w:cs="Times New Roman" w:eastAsia="Times New Roman" w:hAnsi="Times New Roman"/>
          <w:sz w:val="18"/>
          <w:szCs w:val="18"/>
          <w:u w:val="single" w:color="auto"/>
          <w:color w:val="auto"/>
        </w:rPr>
        <w:t>Section 18(a)(1)(A) of the Investment Company Act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spacing w:after="0" w:line="261" w:lineRule="auto"/>
        <w:rPr>
          <w:sz w:val="20"/>
          <w:szCs w:val="20"/>
          <w:color w:val="auto"/>
        </w:rPr>
      </w:pPr>
      <w:r>
        <w:rPr>
          <w:rFonts w:ascii="Times New Roman" w:cs="Times New Roman" w:eastAsia="Times New Roman" w:hAnsi="Times New Roman"/>
          <w:sz w:val="18"/>
          <w:szCs w:val="18"/>
          <w:color w:val="auto"/>
        </w:rPr>
        <w:t>The Company hereby agrees that for the period of time during which the Notes are Outstanding, the Company will not violate, whether or not it is subject to, Section 18(a)(1)(A) of the Investment Company Act as modified by Section 61(a)(1) and (2) of the Investment Company Act or any successor provisions, as such obligations may be amended or superseded, giving effect to any exemptive relief granted to the Company by the Securities and Exchange Commission.”</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1008 </w:t>
      </w:r>
      <w:r>
        <w:rPr>
          <w:rFonts w:ascii="Times New Roman" w:cs="Times New Roman" w:eastAsia="Times New Roman" w:hAnsi="Times New Roman"/>
          <w:sz w:val="18"/>
          <w:szCs w:val="18"/>
          <w:u w:val="single" w:color="auto"/>
          <w:color w:val="auto"/>
        </w:rPr>
        <w:t>Commission Reports and Reports to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color w:val="auto"/>
        </w:rPr>
        <w:t>If, at any time, the Company is not subject to the reporting requirements of Sections 13 or 15(d) of the Exchange Act to file any periodic reports with the</w:t>
      </w:r>
    </w:p>
    <w:p>
      <w:pPr>
        <w:spacing w:after="0" w:line="3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Commission, the Company agrees to furnish to the Holders of the Notes and the Trustee for the period of time during which the Notes are Outstanding:</w:t>
      </w:r>
    </w:p>
    <w:p>
      <w:pPr>
        <w:spacing w:after="0" w:line="9" w:lineRule="exact"/>
        <w:rPr>
          <w:sz w:val="20"/>
          <w:szCs w:val="20"/>
          <w:color w:val="auto"/>
        </w:rPr>
      </w:pPr>
    </w:p>
    <w:p>
      <w:pPr>
        <w:ind w:left="4" w:right="160" w:hanging="4"/>
        <w:spacing w:after="0" w:line="255" w:lineRule="auto"/>
        <w:tabs>
          <w:tab w:leader="none" w:pos="219"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90 days after the end of each fiscal year of the Company, audited annual consolidated financial statements of the Company and (ii) within 45 days after the end of each fiscal quarter of the Company (other than the Company’s fourth fiscal quarter), unaudited interim consolidated financial statements of the Company. All such financial statements shall be prepared, in all material respects, in accordance with GAAP, as applicable.”</w:t>
      </w:r>
    </w:p>
    <w:p>
      <w:pPr>
        <w:spacing w:after="0" w:line="39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ARTICLE VII</w:t>
      </w:r>
    </w:p>
    <w:p>
      <w:pPr>
        <w:spacing w:after="0" w:line="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CONSOLIDATION, MERGER, CONVEYANCE OR TRANSFER</w:t>
      </w:r>
    </w:p>
    <w:p>
      <w:pPr>
        <w:spacing w:after="0" w:line="207" w:lineRule="exact"/>
        <w:rPr>
          <w:sz w:val="20"/>
          <w:szCs w:val="20"/>
          <w:color w:val="auto"/>
        </w:rPr>
      </w:pPr>
    </w:p>
    <w:p>
      <w:pPr>
        <w:jc w:val="both"/>
        <w:ind w:left="4" w:right="140" w:firstLine="440"/>
        <w:spacing w:after="0" w:line="266" w:lineRule="auto"/>
        <w:rPr>
          <w:sz w:val="20"/>
          <w:szCs w:val="20"/>
          <w:color w:val="auto"/>
        </w:rPr>
      </w:pPr>
      <w:r>
        <w:rPr>
          <w:rFonts w:ascii="Times New Roman" w:cs="Times New Roman" w:eastAsia="Times New Roman" w:hAnsi="Times New Roman"/>
          <w:sz w:val="18"/>
          <w:szCs w:val="18"/>
          <w:color w:val="auto"/>
        </w:rPr>
        <w:t>Except as may be provided in a Future Supplemental Indenture, for the benefit of the Holders of the Notes but no other series of Securities under the Base Indenture (as supplemented or amended from time to time by one or more indentures supplemental thereto), whether now or hereafter issued and Outstanding, Article Eight of the Base Indenture shall be amended by replacing Section 801 with the following:</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Merger, Consolidation or Sale of Assets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440"/>
        <w:spacing w:after="0" w:line="261" w:lineRule="auto"/>
        <w:rPr>
          <w:sz w:val="20"/>
          <w:szCs w:val="20"/>
          <w:color w:val="auto"/>
        </w:rPr>
      </w:pPr>
      <w:r>
        <w:rPr>
          <w:rFonts w:ascii="Times New Roman" w:cs="Times New Roman" w:eastAsia="Times New Roman" w:hAnsi="Times New Roman"/>
          <w:sz w:val="18"/>
          <w:szCs w:val="18"/>
          <w:color w:val="auto"/>
        </w:rPr>
        <w:t>The Company shall not merge or consolidate with or into any other Person (other than a merger of a wholly owned Subsidiary of the Company into the Company), or sell, transfer, lease, convey or otherwise dispose of all or substantially all of its property (provided that, for the avoidance of doubt, a pledge of assets pursuant to any secured debt instrument of the Company or its Controlled Subsidiaries shall not be deemed to be any such sale, transfer, lease, conveyance or disposition) in any one transaction or series of related transactions unless:</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- 9 -</w:t>
      </w:r>
    </w:p>
    <w:p>
      <w:pPr>
        <w:sectPr>
          <w:pgSz w:w="11900" w:h="16838" w:orient="portrait"/>
          <w:cols w:equalWidth="0" w:num="1">
            <w:col w:w="11004"/>
          </w:cols>
          <w:pgMar w:left="436" w:top="270" w:right="459" w:bottom="1440" w:gutter="0" w:footer="0" w:header="0"/>
        </w:sectPr>
      </w:pPr>
    </w:p>
    <w:bookmarkStart w:id="13" w:name="page14"/>
    <w:bookmarkEnd w:id="13"/>
    <w:p>
      <w:pPr>
        <w:jc w:val="both"/>
        <w:ind w:right="400" w:firstLine="436"/>
        <w:spacing w:after="0" w:line="266" w:lineRule="auto"/>
        <w:tabs>
          <w:tab w:leader="none" w:pos="6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shall be the surviving Person (the “</w:t>
      </w:r>
      <w:r>
        <w:rPr>
          <w:rFonts w:ascii="Times New Roman" w:cs="Times New Roman" w:eastAsia="Times New Roman" w:hAnsi="Times New Roman"/>
          <w:sz w:val="18"/>
          <w:szCs w:val="18"/>
          <w:u w:val="single" w:color="auto"/>
          <w:color w:val="auto"/>
        </w:rPr>
        <w:t>Surviving Person</w:t>
      </w:r>
      <w:r>
        <w:rPr>
          <w:rFonts w:ascii="Times New Roman" w:cs="Times New Roman" w:eastAsia="Times New Roman" w:hAnsi="Times New Roman"/>
          <w:sz w:val="18"/>
          <w:szCs w:val="18"/>
          <w:color w:val="auto"/>
        </w:rPr>
        <w:t>”) or the Surviving Person (if other than the Company) formed by such merger or consolidation or to which such sale, transfer, lease, conveyance or disposition is made shall be a corporation or limited liability company organized and existing under the laws of the United States of America or any state or territory thereof;</w:t>
      </w:r>
    </w:p>
    <w:p>
      <w:pPr>
        <w:spacing w:after="0" w:line="175" w:lineRule="exact"/>
        <w:rPr>
          <w:rFonts w:ascii="Times New Roman" w:cs="Times New Roman" w:eastAsia="Times New Roman" w:hAnsi="Times New Roman"/>
          <w:sz w:val="18"/>
          <w:szCs w:val="18"/>
          <w:color w:val="auto"/>
        </w:rPr>
      </w:pPr>
    </w:p>
    <w:p>
      <w:pPr>
        <w:ind w:firstLine="436"/>
        <w:spacing w:after="0" w:line="261" w:lineRule="auto"/>
        <w:tabs>
          <w:tab w:leader="none" w:pos="6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Surviving Person (if other than the Company) expressly assumes, by supplemental indenture in form reasonably satisfactory to the Trustee, executed and delivered to the Trustee by such Surviving Person, the due and punctual payment of the principal of, and premium, if any, and interest on, all the Notes Outstanding, and the due and punctual performance and observance of all the covenants and conditions of this Indenture to be performed by the Company;</w:t>
      </w:r>
    </w:p>
    <w:p>
      <w:pPr>
        <w:spacing w:after="0" w:line="179" w:lineRule="exact"/>
        <w:rPr>
          <w:rFonts w:ascii="Times New Roman" w:cs="Times New Roman" w:eastAsia="Times New Roman" w:hAnsi="Times New Roman"/>
          <w:sz w:val="18"/>
          <w:szCs w:val="18"/>
          <w:color w:val="auto"/>
        </w:rPr>
      </w:pPr>
    </w:p>
    <w:p>
      <w:pPr>
        <w:ind w:right="340" w:firstLine="436"/>
        <w:spacing w:after="0" w:line="282" w:lineRule="auto"/>
        <w:tabs>
          <w:tab w:leader="none" w:pos="6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before and immediately after giving effect to such transaction or series of related transactions, no Default or Event of Default shall have occurred and be continuing; and</w:t>
      </w:r>
    </w:p>
    <w:p>
      <w:pPr>
        <w:spacing w:after="0" w:line="161" w:lineRule="exact"/>
        <w:rPr>
          <w:rFonts w:ascii="Times New Roman" w:cs="Times New Roman" w:eastAsia="Times New Roman" w:hAnsi="Times New Roman"/>
          <w:sz w:val="18"/>
          <w:szCs w:val="18"/>
          <w:color w:val="auto"/>
        </w:rPr>
      </w:pPr>
    </w:p>
    <w:p>
      <w:pPr>
        <w:ind w:right="160" w:firstLine="436"/>
        <w:spacing w:after="0" w:line="266" w:lineRule="auto"/>
        <w:tabs>
          <w:tab w:leader="none" w:pos="6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deliver, or cause to be delivered, to the Trustee, an Officers’ Certificate and an Opinion of Counsel, each stating that such transaction and the supplemental indenture, if any, in respect thereto, comply with this Section 801 and that all conditions precedent in this Indenture relating to such transaction have been complied with.</w:t>
      </w:r>
    </w:p>
    <w:p>
      <w:pPr>
        <w:spacing w:after="0" w:line="176" w:lineRule="exact"/>
        <w:rPr>
          <w:sz w:val="20"/>
          <w:szCs w:val="20"/>
          <w:color w:val="auto"/>
        </w:rPr>
      </w:pPr>
    </w:p>
    <w:p>
      <w:pPr>
        <w:jc w:val="both"/>
        <w:ind w:right="20" w:firstLine="440"/>
        <w:spacing w:after="0" w:line="266" w:lineRule="auto"/>
        <w:rPr>
          <w:sz w:val="20"/>
          <w:szCs w:val="20"/>
          <w:color w:val="auto"/>
        </w:rPr>
      </w:pPr>
      <w:r>
        <w:rPr>
          <w:rFonts w:ascii="Times New Roman" w:cs="Times New Roman" w:eastAsia="Times New Roman" w:hAnsi="Times New Roman"/>
          <w:sz w:val="18"/>
          <w:szCs w:val="18"/>
          <w:color w:val="auto"/>
        </w:rPr>
        <w:t>For the purposes of this Section 801, the sale, transfer, lease, conveyance or other disposition of all the property of one or more Subsidiaries of the Company, which property, if held by the Company instead of such Subsidiaries, would constitute all or substantially all the property of the Company on a consolidated basis, shall be deemed to be the transfer of all or substantially all the property of the Company.”</w:t>
      </w:r>
    </w:p>
    <w:p>
      <w:pPr>
        <w:spacing w:after="0" w:line="3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OFFER TO REPURCHASE UPON A CHANGE OF CONTROL REPURCHASE EVENT</w:t>
      </w:r>
    </w:p>
    <w:p>
      <w:pPr>
        <w:spacing w:after="0" w:line="207"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Except as may be provided in a Future Supplemental Indenture, for the benefit of the Holders of the Notes but no other series of Securities under the Base Indenture (as supplemented or amended from time to time by one or more indentures supplemental thereto), whether now or hereafter issued and Outstanding, Article Thirteen of the Base Indenture shall be amended by replacing Sections 1301 to 1305 with the following:</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1301 Change of Control</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If a Change of Control Repurchase Event occurs, unless the Company shall have exercised its right to redeem the Notes in full, the Company shall make an offer to each Holder of the Notes to repurchase all or any part (in minimum denominations of $2,000 and integral multiples of $1,000 principal amount in excess thereof) of that Holder’s Notes at a repurchase price in cash equal to 100% of the aggregate principal amount of Notes repurchased plus any accrued and unpaid interest on the Notes repurchased to, but not including, the date of purchase. Within 30 days following any Change of Control Repurchase Event or, at the Company’s option, prior to any Change of Control, but after the public announcement of the Change of Control, the Company shall mail a notice to each Holder describing the transaction or transactions that constitute or may constitute the Change of Control Repurchase Event and offering to repurchase Notes on the payment date specified in the notice, which date will be no earlier than 30 days and no later than 60 days from the date such notice is mailed. The notice shall, if mailed prior to the date of consummation of the Change of Control, state that the offer to purchase is conditioned on the Change of Control Repurchase Event occurring on or prior to the payment date specified in the notice. The Company shall comply with the requirements of Rule 14e-1 promulgated under the Exchange Act and any other securities laws and regulations thereunder to the extent those laws and regulations are applicable in connection with the repurchase of the Notes as a result of a Change of Control Repurchase Event.</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- 10 -</w:t>
      </w:r>
    </w:p>
    <w:p>
      <w:pPr>
        <w:sectPr>
          <w:pgSz w:w="11900" w:h="16838" w:orient="portrait"/>
          <w:cols w:equalWidth="0" w:num="1">
            <w:col w:w="10980"/>
          </w:cols>
          <w:pgMar w:left="440" w:top="270" w:right="479" w:bottom="1440" w:gutter="0" w:footer="0" w:header="0"/>
        </w:sectPr>
      </w:pPr>
    </w:p>
    <w:bookmarkStart w:id="14" w:name="page15"/>
    <w:bookmarkEnd w:id="14"/>
    <w:p>
      <w:pPr>
        <w:jc w:val="center"/>
        <w:ind w:right="2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extent that the provisions of any securities laws or regulations conflict with this Section 1301, the Company shall comply with the</w:t>
      </w:r>
    </w:p>
    <w:p>
      <w:pPr>
        <w:spacing w:after="0" w:line="27"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7"/>
          <w:szCs w:val="17"/>
          <w:color w:val="auto"/>
        </w:rPr>
        <w:t>applicable securities laws and regulations and shall not be deemed to have breached its obligations under this Section 1301 by virtue of such conflict.</w:t>
      </w:r>
    </w:p>
    <w:p>
      <w:pPr>
        <w:spacing w:after="0" w:line="218" w:lineRule="exact"/>
        <w:rPr>
          <w:sz w:val="20"/>
          <w:szCs w:val="20"/>
          <w:color w:val="auto"/>
        </w:rPr>
      </w:pPr>
    </w:p>
    <w:p>
      <w:pPr>
        <w:ind w:right="420" w:firstLine="440"/>
        <w:spacing w:after="0" w:line="282" w:lineRule="auto"/>
        <w:rPr>
          <w:sz w:val="20"/>
          <w:szCs w:val="20"/>
          <w:color w:val="auto"/>
        </w:rPr>
      </w:pPr>
      <w:r>
        <w:rPr>
          <w:rFonts w:ascii="Times New Roman" w:cs="Times New Roman" w:eastAsia="Times New Roman" w:hAnsi="Times New Roman"/>
          <w:sz w:val="18"/>
          <w:szCs w:val="18"/>
          <w:color w:val="auto"/>
        </w:rPr>
        <w:t>On the Change of Control Repurchase Event payment date, subject to extension if necessary to comply with the provisions of the Investment Company Act, the Company shall, to the extent lawful:</w:t>
      </w:r>
    </w:p>
    <w:p>
      <w:pPr>
        <w:spacing w:after="0" w:line="162" w:lineRule="exact"/>
        <w:rPr>
          <w:sz w:val="20"/>
          <w:szCs w:val="20"/>
          <w:color w:val="auto"/>
        </w:rPr>
      </w:pPr>
    </w:p>
    <w:p>
      <w:pPr>
        <w:ind w:left="1120" w:hanging="261"/>
        <w:spacing w:after="0"/>
        <w:tabs>
          <w:tab w:leader="none" w:pos="11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Notes or portions of Notes properly tendered pursuant to its offer;</w:t>
      </w:r>
    </w:p>
    <w:p>
      <w:pPr>
        <w:spacing w:after="0" w:line="225" w:lineRule="exact"/>
        <w:rPr>
          <w:rFonts w:ascii="Times New Roman" w:cs="Times New Roman" w:eastAsia="Times New Roman" w:hAnsi="Times New Roman"/>
          <w:sz w:val="18"/>
          <w:szCs w:val="18"/>
          <w:color w:val="auto"/>
        </w:rPr>
      </w:pPr>
    </w:p>
    <w:p>
      <w:pPr>
        <w:ind w:left="440" w:right="420" w:firstLine="419"/>
        <w:spacing w:after="0" w:line="282" w:lineRule="auto"/>
        <w:tabs>
          <w:tab w:leader="none" w:pos="111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equal to the aggregate purchase price in respect of all Notes or portions of Notes properly tendered; and</w:t>
      </w:r>
    </w:p>
    <w:p>
      <w:pPr>
        <w:spacing w:after="0" w:line="161" w:lineRule="exact"/>
        <w:rPr>
          <w:rFonts w:ascii="Times New Roman" w:cs="Times New Roman" w:eastAsia="Times New Roman" w:hAnsi="Times New Roman"/>
          <w:sz w:val="18"/>
          <w:szCs w:val="18"/>
          <w:color w:val="auto"/>
        </w:rPr>
      </w:pPr>
    </w:p>
    <w:p>
      <w:pPr>
        <w:ind w:left="440" w:right="260" w:firstLine="419"/>
        <w:spacing w:after="0" w:line="282" w:lineRule="auto"/>
        <w:tabs>
          <w:tab w:leader="none" w:pos="111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the Notes properly accepted, together with an Officers’ Certificate stating the aggregate principal amount of Notes being purchased by the Company.</w:t>
      </w:r>
    </w:p>
    <w:p>
      <w:pPr>
        <w:spacing w:after="0" w:line="162" w:lineRule="exact"/>
        <w:rPr>
          <w:sz w:val="20"/>
          <w:szCs w:val="20"/>
          <w:color w:val="auto"/>
        </w:rPr>
      </w:pPr>
    </w:p>
    <w:p>
      <w:pPr>
        <w:ind w:right="60" w:firstLine="440"/>
        <w:spacing w:after="0" w:line="289" w:lineRule="auto"/>
        <w:rPr>
          <w:sz w:val="20"/>
          <w:szCs w:val="20"/>
          <w:color w:val="auto"/>
        </w:rPr>
      </w:pPr>
      <w:r>
        <w:rPr>
          <w:rFonts w:ascii="Times New Roman" w:cs="Times New Roman" w:eastAsia="Times New Roman" w:hAnsi="Times New Roman"/>
          <w:sz w:val="17"/>
          <w:szCs w:val="17"/>
          <w:color w:val="auto"/>
        </w:rPr>
        <w:t xml:space="preserve">The Paying Agent will promptly remit to each Holder of Notes properly tendered the purchase price for the Notes, and the Trustee will promptly authenticate and mail (or cause to be transferred by book-entry) to each Holder a new Note equal in principal amount to any unpurchased portion of any Notes surrendered;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each new Note will be in a minimum principal amount of $2,000 or an integral multiple of $1,000 in excess thereof.</w:t>
      </w:r>
    </w:p>
    <w:p>
      <w:pPr>
        <w:spacing w:after="0" w:line="158"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If any Repayment Date upon a Change of Control Repurchase Event falls on a day that is not a Business Day, then the required payment will be made on the next succeeding Business Day and no additional interest will accrue as a result of such delayed payment.</w:t>
      </w:r>
    </w:p>
    <w:p>
      <w:pPr>
        <w:spacing w:after="0" w:line="162"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The Company will not be required to make an offer to repurchase the Notes upon a Change of Control Repurchase Event if a third party makes an offer in respect of the Notes in the manner, at the time and otherwise in compliance with the requirements for an offer made by the Company and such third party purchases all Notes properly tendered and not withdrawn under its offer.”</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3" w:lineRule="exact"/>
        <w:rPr>
          <w:sz w:val="20"/>
          <w:szCs w:val="20"/>
          <w:color w:val="auto"/>
        </w:rPr>
      </w:pPr>
    </w:p>
    <w:p>
      <w:pPr>
        <w:ind w:righ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Section 9.01. </w:t>
      </w:r>
      <w:r>
        <w:rPr>
          <w:rFonts w:ascii="Times New Roman" w:cs="Times New Roman" w:eastAsia="Times New Roman" w:hAnsi="Times New Roman"/>
          <w:sz w:val="18"/>
          <w:szCs w:val="18"/>
          <w:color w:val="auto"/>
        </w:rPr>
        <w:t>This Fourteenth Supplemental Indenture and the Notes shall be governed by and construed in accordance with the laws of the State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New York, without regard to principles of conflicts of laws that would cause the application of laws of another jurisdiction. This Fourteenth Supplemental Indenture is subject to the provisions of the Trust Indenture Act that are required to be part of the Indenture and shall, to the extent applicable, be governed by such provisions.</w:t>
      </w:r>
    </w:p>
    <w:p>
      <w:pPr>
        <w:spacing w:after="0" w:line="176" w:lineRule="exact"/>
        <w:rPr>
          <w:sz w:val="20"/>
          <w:szCs w:val="20"/>
          <w:color w:val="auto"/>
        </w:rPr>
      </w:pPr>
    </w:p>
    <w:p>
      <w:pPr>
        <w:ind w:right="58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Section 9.02. </w:t>
      </w:r>
      <w:r>
        <w:rPr>
          <w:rFonts w:ascii="Times New Roman" w:cs="Times New Roman" w:eastAsia="Times New Roman" w:hAnsi="Times New Roman"/>
          <w:sz w:val="18"/>
          <w:szCs w:val="18"/>
          <w:color w:val="auto"/>
        </w:rPr>
        <w:t>In case any provision in this Fourteenth Supplemental Indenture or in the Notes shall be invalid, illegal or unenforceable,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validity, legality and enforceability of the remaining provisions shall not in any way be affected or impaired thereby.</w:t>
      </w:r>
    </w:p>
    <w:p>
      <w:pPr>
        <w:spacing w:after="0" w:line="155"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Section 9.03. </w:t>
      </w:r>
      <w:r>
        <w:rPr>
          <w:rFonts w:ascii="Times New Roman" w:cs="Times New Roman" w:eastAsia="Times New Roman" w:hAnsi="Times New Roman"/>
          <w:sz w:val="18"/>
          <w:szCs w:val="18"/>
          <w:color w:val="auto"/>
        </w:rPr>
        <w:t>This Fourteenth Supplemental Indenture may be executed in counterparts, each of which will be an original, but such counterparts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together constitute but one and the same Fourteenth Supplemental Indenture. The exchange of copies of this Fourteenth Supplemental Indenture and of signature pages by facsimile, .pdf transmission, email or other electronic means shall constitute effective execution and delivery of this Fourteenth Supplemental Indenture for all purposes. Signatures of the parties hereto transmitted by facsimile, .pdf transmission, email or other electronic means shall be deemed to be their original signatures for all purposes. For the avoidance of doubt, all notices, approvals, consents, requests and any communications hereunder or with respect to the Notes must be in writing (provided that any communication sent to the Trustee hereunder must be in the form of a document that is signed manually or by way of a digital signature provided by DocuSign or Adobe (or such other digital signature provider as specified in writing to the Trustee by the authorized representative)), in English. The Company agrees to assume all risks arising out of the use of using digital signatures and electronic methods to submit communications to the Trustee, including without limitation the risk of the Trustee acting on unauthorized instructions, and the risk of interception and misuse by third parties.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- 11 -</w:t>
      </w:r>
    </w:p>
    <w:p>
      <w:pPr>
        <w:sectPr>
          <w:pgSz w:w="11900" w:h="16838" w:orient="portrait"/>
          <w:cols w:equalWidth="0" w:num="1">
            <w:col w:w="11000"/>
          </w:cols>
          <w:pgMar w:left="440" w:top="270" w:right="459" w:bottom="1440" w:gutter="0" w:footer="0" w:header="0"/>
        </w:sectPr>
      </w:pPr>
    </w:p>
    <w:bookmarkStart w:id="15" w:name="page16"/>
    <w:bookmarkEnd w:id="15"/>
    <w:p>
      <w:pPr>
        <w:ind w:right="200" w:firstLine="440"/>
        <w:spacing w:after="0" w:line="257"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9.04. </w:t>
      </w:r>
      <w:r>
        <w:rPr>
          <w:rFonts w:ascii="Times New Roman" w:cs="Times New Roman" w:eastAsia="Times New Roman" w:hAnsi="Times New Roman"/>
          <w:sz w:val="18"/>
          <w:szCs w:val="18"/>
          <w:color w:val="auto"/>
        </w:rPr>
        <w:t>The Base Indenture, as supplemented and amended by this Fourteenth Supplemental Indenture, is in all respects ratified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confirmed, and the Base Indenture and this Fourteenth Supplemental Indenture shall be read, taken and construed as one and the same instrument with respect to the Notes. All provisions included in this Fourteenth Supplemental Indenture supersede any conflicting provisions included in the Base Indenture with respect to the Notes, unless not permitted by law. The Trustee accepts the trusts created by the Base Indenture, as supplemented by this Fourteenth Supplemental Indenture, and agrees to perform the same upon the terms and conditions of the Base Indenture, as supplemented by this Fourteenth Supplemental Indenture.</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 xml:space="preserve">Section 9.05. </w:t>
      </w:r>
      <w:r>
        <w:rPr>
          <w:rFonts w:ascii="Times New Roman" w:cs="Times New Roman" w:eastAsia="Times New Roman" w:hAnsi="Times New Roman"/>
          <w:sz w:val="18"/>
          <w:szCs w:val="18"/>
          <w:color w:val="auto"/>
        </w:rPr>
        <w:t>The provisions of this Fourteenth Supplemental Indenture shall become effective as of the date hereof.</w:t>
      </w:r>
    </w:p>
    <w:p>
      <w:pPr>
        <w:spacing w:after="0" w:line="22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9.06. </w:t>
      </w:r>
      <w:r>
        <w:rPr>
          <w:rFonts w:ascii="Times New Roman" w:cs="Times New Roman" w:eastAsia="Times New Roman" w:hAnsi="Times New Roman"/>
          <w:sz w:val="18"/>
          <w:szCs w:val="18"/>
          <w:color w:val="auto"/>
        </w:rPr>
        <w:t>Notwithstanding anything else to the contrary herein, the terms and provisions of this Fourteenth Supplemental Indenture shall apply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only to the Notes and shall not apply to any other series of Securities under the Base Indenture (as supplemented or amended from time to time by one or more indentures supplemental thereto) and this Fourteenth Supplemental Indenture shall not and does not otherwise affect, modify, alter, supplement or change the terms and provisions of any other series of Securities under the Base Indenture (as supplemented or amended from time to time by one or more indentures supplemental thereto), whether now or hereafter issued and Outstanding.</w:t>
      </w:r>
    </w:p>
    <w:p>
      <w:pPr>
        <w:spacing w:after="0" w:line="179" w:lineRule="exact"/>
        <w:rPr>
          <w:sz w:val="20"/>
          <w:szCs w:val="20"/>
          <w:color w:val="auto"/>
        </w:rPr>
      </w:pPr>
    </w:p>
    <w:p>
      <w:pPr>
        <w:ind w:right="80" w:firstLine="440"/>
        <w:spacing w:after="0" w:line="259" w:lineRule="auto"/>
        <w:rPr>
          <w:sz w:val="20"/>
          <w:szCs w:val="20"/>
          <w:color w:val="auto"/>
        </w:rPr>
      </w:pPr>
      <w:r>
        <w:rPr>
          <w:rFonts w:ascii="Times New Roman" w:cs="Times New Roman" w:eastAsia="Times New Roman" w:hAnsi="Times New Roman"/>
          <w:sz w:val="18"/>
          <w:szCs w:val="18"/>
          <w:b w:val="1"/>
          <w:bCs w:val="1"/>
          <w:color w:val="auto"/>
        </w:rPr>
        <w:t xml:space="preserve">Section 9.07. </w:t>
      </w:r>
      <w:r>
        <w:rPr>
          <w:rFonts w:ascii="Times New Roman" w:cs="Times New Roman" w:eastAsia="Times New Roman" w:hAnsi="Times New Roman"/>
          <w:sz w:val="18"/>
          <w:szCs w:val="18"/>
          <w:color w:val="auto"/>
        </w:rPr>
        <w:t>The recitals contained herein and in the Notes shall be taken as the statements of the Company, and the Trustee assumes no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responsibility for their correctness. The Trustee makes no representations as to the validity or sufficiency of this Fourteenth Supplemental Indenture, the Notes or any Additional Notes, except that the Trustee represents that it is duly authorized to execute and deliver this Fourteenth Supplemental Indenture, authenticate the Notes and any Additional Notes and perform its obligations hereunder. The Trustee shall not be accountable for the use or application by the Company of the Notes or any Additional Notes or the proceeds thereof.</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- 12 -</w:t>
      </w:r>
    </w:p>
    <w:p>
      <w:pPr>
        <w:sectPr>
          <w:pgSz w:w="11900" w:h="16838" w:orient="portrait"/>
          <w:cols w:equalWidth="0" w:num="1">
            <w:col w:w="11020"/>
          </w:cols>
          <w:pgMar w:left="440" w:top="266" w:right="439" w:bottom="1440" w:gutter="0" w:footer="0" w:header="0"/>
        </w:sectPr>
      </w:pPr>
    </w:p>
    <w:bookmarkStart w:id="16" w:name="page17"/>
    <w:bookmarkEnd w:id="16"/>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parties hereto have caused this Fourteenth Supplemental Indenture to be duly executed as of the date first above written.</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FS KKR CAPITAL CORP.</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William Goebel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William Goebel</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Chief Accounting Officer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U.S. BANK TRUST COMPANY, NATIONAL</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ASSOCIATION (as successor-in-interest to U.S. Bank</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National Association),</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Trustee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Gregory P. Guim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Gregory P. Guim</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Thirteenth Supplemental Indenture</w:t>
      </w:r>
      <w:r>
        <w:rPr>
          <w:rFonts w:ascii="Times New Roman" w:cs="Times New Roman" w:eastAsia="Times New Roman" w:hAnsi="Times New Roman"/>
          <w:sz w:val="18"/>
          <w:szCs w:val="18"/>
          <w:color w:val="auto"/>
        </w:rPr>
        <w:t>]</w:t>
      </w:r>
    </w:p>
    <w:p>
      <w:pPr>
        <w:sectPr>
          <w:pgSz w:w="11900" w:h="16838" w:orient="portrait"/>
          <w:cols w:equalWidth="0" w:num="1">
            <w:col w:w="10760"/>
          </w:cols>
          <w:pgMar w:left="440" w:top="270" w:right="699" w:bottom="1440" w:gutter="0" w:footer="0" w:header="0"/>
        </w:sectPr>
      </w:pPr>
    </w:p>
    <w:bookmarkStart w:id="17" w:name="page18"/>
    <w:bookmarkEnd w:id="17"/>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A – Form of Global Note</w:t>
      </w:r>
    </w:p>
    <w:p>
      <w:pPr>
        <w:spacing w:after="0" w:line="225" w:lineRule="exact"/>
        <w:rPr>
          <w:sz w:val="20"/>
          <w:szCs w:val="20"/>
          <w:color w:val="auto"/>
        </w:rPr>
      </w:pPr>
    </w:p>
    <w:p>
      <w:pPr>
        <w:ind w:right="140"/>
        <w:spacing w:after="0" w:line="262" w:lineRule="auto"/>
        <w:rPr>
          <w:sz w:val="20"/>
          <w:szCs w:val="20"/>
          <w:color w:val="auto"/>
        </w:rPr>
      </w:pPr>
      <w:r>
        <w:rPr>
          <w:rFonts w:ascii="Times New Roman" w:cs="Times New Roman" w:eastAsia="Times New Roman" w:hAnsi="Times New Roman"/>
          <w:sz w:val="18"/>
          <w:szCs w:val="18"/>
          <w:b w:val="1"/>
          <w:bCs w:val="1"/>
          <w:color w:val="auto"/>
        </w:rPr>
        <w:t>This Security is a Global Note within the meaning of the Indenture hereinafter referred to and is registered in the name of The Depository Trust Company or a nominee thereof. This Security may not be exchanged in whole or in part for a Security registered, and no transfer of this Security in whole or in part may be registered, in the name of any Person other than The Depository Trust Company or a nominee thereof, except in the limited circumstances described in the Indenture.</w:t>
      </w:r>
    </w:p>
    <w:p>
      <w:pPr>
        <w:spacing w:after="0" w:line="176" w:lineRule="exact"/>
        <w:rPr>
          <w:sz w:val="20"/>
          <w:szCs w:val="20"/>
          <w:color w:val="auto"/>
        </w:rPr>
      </w:pPr>
    </w:p>
    <w:p>
      <w:pPr>
        <w:ind w:right="180"/>
        <w:spacing w:after="0" w:line="262" w:lineRule="auto"/>
        <w:rPr>
          <w:sz w:val="20"/>
          <w:szCs w:val="20"/>
          <w:color w:val="auto"/>
        </w:rPr>
      </w:pPr>
      <w:r>
        <w:rPr>
          <w:rFonts w:ascii="Times New Roman" w:cs="Times New Roman" w:eastAsia="Times New Roman" w:hAnsi="Times New Roman"/>
          <w:sz w:val="18"/>
          <w:szCs w:val="18"/>
          <w:b w:val="1"/>
          <w:bCs w:val="1"/>
          <w:color w:val="auto"/>
        </w:rPr>
        <w:t>Unless this certificate is presented by an authorized representative of The Depository Trust Company to the issuer or its agent for registration of transfer, exchange or payment and such certificate issued in exchange for this certificate is registered in the name of Cede &amp; Co., or such other name as requested by an authorized representative of The Depository Trust Company, any transfer, pledge or other use hereof for value or otherwise by or to any person is wrongful, as the registered owner hereof, Cede &amp; Co., has an interest herein.</w:t>
      </w:r>
    </w:p>
    <w:p>
      <w:pPr>
        <w:spacing w:after="0" w:line="39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FS KKR Capital Corp.</w:t>
      </w:r>
    </w:p>
    <w:p>
      <w:pPr>
        <w:sectPr>
          <w:pgSz w:w="11900" w:h="16838" w:orient="portrait"/>
          <w:cols w:equalWidth="0" w:num="1">
            <w:col w:w="11020"/>
          </w:cols>
          <w:pgMar w:left="440" w:top="266" w:right="439" w:bottom="1440" w:gutter="0" w:footer="0" w:header="0"/>
        </w:sect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 ____</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CUSIP No.</w:t>
      </w:r>
    </w:p>
    <w:p>
      <w:pPr>
        <w:spacing w:after="0" w:line="2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ISIN No.</w:t>
      </w:r>
    </w:p>
    <w:p>
      <w:pPr>
        <w:spacing w:after="0" w:line="200" w:lineRule="exact"/>
        <w:rPr>
          <w:sz w:val="20"/>
          <w:szCs w:val="20"/>
          <w:color w:val="auto"/>
        </w:rPr>
      </w:pPr>
    </w:p>
    <w:p>
      <w:pPr>
        <w:sectPr>
          <w:pgSz w:w="11900" w:h="16838" w:orient="portrait"/>
          <w:cols w:equalWidth="0" w:num="2">
            <w:col w:w="9480" w:space="720"/>
            <w:col w:w="820"/>
          </w:cols>
          <w:pgMar w:left="440" w:top="266" w:right="439" w:bottom="1440" w:gutter="0" w:footer="0" w:header="0"/>
          <w:type w:val="continuous"/>
        </w:sectPr>
      </w:pP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6.125% Notes due 2030</w:t>
      </w:r>
    </w:p>
    <w:p>
      <w:pPr>
        <w:spacing w:after="0" w:line="225" w:lineRule="exact"/>
        <w:rPr>
          <w:sz w:val="20"/>
          <w:szCs w:val="20"/>
          <w:color w:val="auto"/>
        </w:rPr>
      </w:pPr>
    </w:p>
    <w:p>
      <w:pPr>
        <w:ind w:right="80" w:firstLine="440"/>
        <w:spacing w:after="0" w:line="272" w:lineRule="auto"/>
        <w:rPr>
          <w:sz w:val="20"/>
          <w:szCs w:val="20"/>
          <w:color w:val="auto"/>
        </w:rPr>
      </w:pPr>
      <w:r>
        <w:rPr>
          <w:rFonts w:ascii="Times New Roman" w:cs="Times New Roman" w:eastAsia="Times New Roman" w:hAnsi="Times New Roman"/>
          <w:sz w:val="17"/>
          <w:szCs w:val="17"/>
          <w:color w:val="auto"/>
        </w:rPr>
        <w:t>FS KKR Capital Corp., a corporation duly organized and existing under the laws of Maryland (herein called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which term includes any successor Person under the Indenture hereinafter referred to), for value received, hereby promises to pay to Cede &amp; Co., or registered assigns, the principal sum of ______________ (U.S. $_____________) on January 15, 2030, and to pay interest thereon from November 20, 2024 or from the most</w:t>
      </w:r>
    </w:p>
    <w:p>
      <w:pPr>
        <w:spacing w:after="0" w:line="2" w:lineRule="exact"/>
        <w:rPr>
          <w:sz w:val="20"/>
          <w:szCs w:val="20"/>
          <w:color w:val="auto"/>
        </w:rPr>
      </w:pPr>
    </w:p>
    <w:p>
      <w:pPr>
        <w:ind w:right="100"/>
        <w:spacing w:after="0" w:line="251" w:lineRule="auto"/>
        <w:rPr>
          <w:sz w:val="20"/>
          <w:szCs w:val="20"/>
          <w:color w:val="auto"/>
        </w:rPr>
      </w:pPr>
      <w:r>
        <w:rPr>
          <w:rFonts w:ascii="Times New Roman" w:cs="Times New Roman" w:eastAsia="Times New Roman" w:hAnsi="Times New Roman"/>
          <w:sz w:val="18"/>
          <w:szCs w:val="18"/>
          <w:color w:val="auto"/>
        </w:rPr>
        <w:t>recent Interest Payment Date to which interest has been paid or duly provided for, semi-annually on January 15 and July 15 of each year, commencing July 15, 2025, at the rate of 6.125% per annum until the principal hereof is paid or made available for payment. The interest so payable, and punctually paid or duly provided for, on any Interest Payment Date will, as provided in such Indenture, be paid to the Person in whose name this Security is registered at the close of business on the Regular Record Date for such interest, which shall be January 1 and July 1 (whether or not a Business Day), as the case may be, next preceding such Interest Payment Date. Any such interest not so punctually paid or duly provided for will forthwith cease to be payable to the Holder on such Regular Record Date and may either be paid to the Person in whose name this Security is registered at the close of business on a Special Record Date for the payment of such Defaulted Interest to be fixed by the Trustee, notice whereof shall be given to Holders of Securities of this series not less than 10 days prior to such Special Record Date, or be paid at any time in any other lawful manner not inconsistent with the requirements of any securities exchange on which the Securities of this series may be listed, and upon such notice as may be required by such exchange, all as more fully provided in said Indenture. This Security may be issued as part of a series.</w:t>
      </w:r>
    </w:p>
    <w:p>
      <w:pPr>
        <w:spacing w:after="0" w:line="193"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 xml:space="preserve">Payment of the principal of (and premium, if any, on) and any such interest on this Security will be made at the office of the Trustee located at One Federal Street, 10th Floor, Boston, MA 02110 and at such other address as designated by the Trustee, in such coin or currency of the United States of America as at the time of payment is legal tender for payment of public and private debts;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at the option of the Company payment of interest may be made by check mailed to the address of the Person entitled thereto as such address shall appear in the Security Register;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further</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so long as this Security is registered to Cede &amp; Co., such payment will be made by wire transfer in accordance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procedures established by The Depository Trust Company and the Trustee.</w:t>
      </w:r>
    </w:p>
    <w:p>
      <w:pPr>
        <w:spacing w:after="0" w:line="187"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Reference is hereby made to the further provisions of this Security set forth on the reverse hereof, which further provisions shall for all purposes have the same effect as if set forth at this place.</w:t>
      </w:r>
    </w:p>
    <w:p>
      <w:pPr>
        <w:spacing w:after="0" w:line="162" w:lineRule="exact"/>
        <w:rPr>
          <w:sz w:val="20"/>
          <w:szCs w:val="20"/>
          <w:color w:val="auto"/>
        </w:rPr>
      </w:pPr>
    </w:p>
    <w:p>
      <w:pPr>
        <w:ind w:right="640" w:firstLine="440"/>
        <w:spacing w:after="0" w:line="282" w:lineRule="auto"/>
        <w:rPr>
          <w:sz w:val="20"/>
          <w:szCs w:val="20"/>
          <w:color w:val="auto"/>
        </w:rPr>
      </w:pPr>
      <w:r>
        <w:rPr>
          <w:rFonts w:ascii="Times New Roman" w:cs="Times New Roman" w:eastAsia="Times New Roman" w:hAnsi="Times New Roman"/>
          <w:sz w:val="18"/>
          <w:szCs w:val="18"/>
          <w:color w:val="auto"/>
        </w:rPr>
        <w:t>Unless the certificate of authentication hereon has been executed by the Trustee referred to on the reverse hereof by manual signature, this Security shall not be entitled to any benefit under the Indenture or be valid or obligatory for any purpose.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020"/>
          </w:cols>
          <w:pgMar w:left="440" w:top="266" w:right="439" w:bottom="1440" w:gutter="0" w:footer="0" w:header="0"/>
          <w:type w:val="continuous"/>
        </w:sectPr>
      </w:pPr>
    </w:p>
    <w:bookmarkStart w:id="18" w:name="page19"/>
    <w:bookmarkEnd w:id="1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w:t>
      </w:r>
      <w:r>
        <w:rPr>
          <w:rFonts w:ascii="Times New Roman" w:cs="Times New Roman" w:eastAsia="Times New Roman" w:hAnsi="Times New Roman"/>
          <w:sz w:val="14"/>
          <w:szCs w:val="14"/>
          <w:color w:val="auto"/>
        </w:rPr>
        <w:t>N</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4"/>
          <w:szCs w:val="14"/>
          <w:color w:val="auto"/>
        </w:rPr>
        <w:t>ITNESS</w:t>
      </w:r>
      <w:r>
        <w:rPr>
          <w:rFonts w:ascii="Times New Roman" w:cs="Times New Roman" w:eastAsia="Times New Roman" w:hAnsi="Times New Roman"/>
          <w:sz w:val="18"/>
          <w:szCs w:val="18"/>
          <w:color w:val="auto"/>
        </w:rPr>
        <w:t xml:space="preserve"> W</w:t>
      </w:r>
      <w:r>
        <w:rPr>
          <w:rFonts w:ascii="Times New Roman" w:cs="Times New Roman" w:eastAsia="Times New Roman" w:hAnsi="Times New Roman"/>
          <w:sz w:val="14"/>
          <w:szCs w:val="14"/>
          <w:color w:val="auto"/>
        </w:rPr>
        <w:t>HEREOF</w:t>
      </w:r>
      <w:r>
        <w:rPr>
          <w:rFonts w:ascii="Times New Roman" w:cs="Times New Roman" w:eastAsia="Times New Roman" w:hAnsi="Times New Roman"/>
          <w:sz w:val="18"/>
          <w:szCs w:val="18"/>
          <w:color w:val="auto"/>
        </w:rPr>
        <w:t>, the Company has caused this instrument to be duly executed.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20, 2024</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FS KKR CAPITAL CORP.</w:t>
      </w:r>
    </w:p>
    <w:p>
      <w:pPr>
        <w:spacing w:after="0" w:line="23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w:t>
      </w:r>
    </w:p>
    <w:p>
      <w:pPr>
        <w:spacing w:after="0" w:line="2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Attest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62860"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w:t>
      </w:r>
    </w:p>
    <w:p>
      <w:pPr>
        <w:spacing w:after="0" w:line="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w:t>
      </w:r>
    </w:p>
    <w:p>
      <w:pPr>
        <w:spacing w:after="0" w:line="139"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0019"/>
          </w:cols>
          <w:pgMar w:left="440" w:top="270" w:right="1440" w:bottom="1440" w:gutter="0" w:footer="0" w:header="0"/>
        </w:sectPr>
      </w:pPr>
    </w:p>
    <w:bookmarkStart w:id="19" w:name="page20"/>
    <w:bookmarkEnd w:id="1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This is one of the Securities of the series designated therein referred to in the within-mentioned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20, 2024</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U.S. BANK TRUST COMPANY, NATIONAL</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ASSOCIATION (as successor-in-interest to U.S. Bank</w:t>
      </w:r>
    </w:p>
    <w:p>
      <w:pPr>
        <w:spacing w:after="0" w:line="2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National Association),</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 Trustee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4429125</wp:posOffset>
            </wp:positionH>
            <wp:positionV relativeFrom="paragraph">
              <wp:posOffset>17145</wp:posOffset>
            </wp:positionV>
            <wp:extent cx="25628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Authorized Signatory</w:t>
      </w:r>
    </w:p>
    <w:p>
      <w:pPr>
        <w:spacing w:after="0" w:line="158"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0540"/>
          </w:cols>
          <w:pgMar w:left="440" w:top="270" w:right="919" w:bottom="1440" w:gutter="0" w:footer="0" w:header="0"/>
        </w:sectPr>
      </w:pPr>
    </w:p>
    <w:bookmarkStart w:id="20" w:name="page21"/>
    <w:bookmarkEnd w:id="20"/>
    <w:p>
      <w:pPr>
        <w:ind w:left="4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FS KKR Capital Corp.</w:t>
      </w:r>
    </w:p>
    <w:p>
      <w:pPr>
        <w:spacing w:after="0" w:line="31" w:lineRule="exact"/>
        <w:rPr>
          <w:sz w:val="20"/>
          <w:szCs w:val="20"/>
          <w:color w:val="auto"/>
        </w:rPr>
      </w:pPr>
    </w:p>
    <w:p>
      <w:pPr>
        <w:ind w:left="4640"/>
        <w:spacing w:after="0"/>
        <w:rPr>
          <w:sz w:val="20"/>
          <w:szCs w:val="20"/>
          <w:color w:val="auto"/>
        </w:rPr>
      </w:pPr>
      <w:r>
        <w:rPr>
          <w:rFonts w:ascii="Times New Roman" w:cs="Times New Roman" w:eastAsia="Times New Roman" w:hAnsi="Times New Roman"/>
          <w:sz w:val="18"/>
          <w:szCs w:val="18"/>
          <w:color w:val="auto"/>
        </w:rPr>
        <w:t>6.125% Notes due 2030</w:t>
      </w:r>
    </w:p>
    <w:p>
      <w:pPr>
        <w:spacing w:after="0" w:line="207" w:lineRule="exact"/>
        <w:rPr>
          <w:sz w:val="20"/>
          <w:szCs w:val="20"/>
          <w:color w:val="auto"/>
        </w:rPr>
      </w:pPr>
    </w:p>
    <w:p>
      <w:pPr>
        <w:ind w:right="20" w:firstLine="440"/>
        <w:spacing w:after="0" w:line="267" w:lineRule="auto"/>
        <w:rPr>
          <w:sz w:val="20"/>
          <w:szCs w:val="20"/>
          <w:color w:val="auto"/>
        </w:rPr>
      </w:pPr>
      <w:r>
        <w:rPr>
          <w:rFonts w:ascii="Times New Roman" w:cs="Times New Roman" w:eastAsia="Times New Roman" w:hAnsi="Times New Roman"/>
          <w:sz w:val="17"/>
          <w:szCs w:val="17"/>
          <w:color w:val="auto"/>
        </w:rPr>
        <w:t>This Security is one of a duly authorized issue of Senior Securities of the Company (herein called the “</w:t>
      </w:r>
      <w:r>
        <w:rPr>
          <w:rFonts w:ascii="Times New Roman" w:cs="Times New Roman" w:eastAsia="Times New Roman" w:hAnsi="Times New Roman"/>
          <w:sz w:val="17"/>
          <w:szCs w:val="17"/>
          <w:u w:val="single" w:color="auto"/>
          <w:color w:val="auto"/>
        </w:rPr>
        <w:t>Securities</w:t>
      </w:r>
      <w:r>
        <w:rPr>
          <w:rFonts w:ascii="Times New Roman" w:cs="Times New Roman" w:eastAsia="Times New Roman" w:hAnsi="Times New Roman"/>
          <w:sz w:val="17"/>
          <w:szCs w:val="17"/>
          <w:color w:val="auto"/>
        </w:rPr>
        <w:t>”), issued and to be issued in one or more series under an Indenture, dated as of July 14, 2014 (herein called the “</w:t>
      </w:r>
      <w:r>
        <w:rPr>
          <w:rFonts w:ascii="Times New Roman" w:cs="Times New Roman" w:eastAsia="Times New Roman" w:hAnsi="Times New Roman"/>
          <w:sz w:val="17"/>
          <w:szCs w:val="17"/>
          <w:u w:val="single" w:color="auto"/>
          <w:color w:val="auto"/>
        </w:rPr>
        <w:t>Base Indenture</w:t>
      </w:r>
      <w:r>
        <w:rPr>
          <w:rFonts w:ascii="Times New Roman" w:cs="Times New Roman" w:eastAsia="Times New Roman" w:hAnsi="Times New Roman"/>
          <w:sz w:val="17"/>
          <w:szCs w:val="17"/>
          <w:color w:val="auto"/>
        </w:rPr>
        <w:t>”, which term shall have the meaning assigned to it in such instrument), between the Company and U.S. Bank Trust Company, National Association, as Trustee (herein called the “</w:t>
      </w:r>
      <w:r>
        <w:rPr>
          <w:rFonts w:ascii="Times New Roman" w:cs="Times New Roman" w:eastAsia="Times New Roman" w:hAnsi="Times New Roman"/>
          <w:sz w:val="17"/>
          <w:szCs w:val="17"/>
          <w:u w:val="single" w:color="auto"/>
          <w:color w:val="auto"/>
        </w:rPr>
        <w:t>Trustee</w:t>
      </w:r>
      <w:r>
        <w:rPr>
          <w:rFonts w:ascii="Times New Roman" w:cs="Times New Roman" w:eastAsia="Times New Roman" w:hAnsi="Times New Roman"/>
          <w:sz w:val="17"/>
          <w:szCs w:val="17"/>
          <w:color w:val="auto"/>
        </w:rPr>
        <w:t>”, which term includes any successor trustee under the Base Indenture), and reference is hereby made to the Base Indenture for a statement of the respective rights, limitations of rights, duties and immunities thereunder of the Company, the Trustee</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and the Holders of the Securities and of the terms upon which the Securities are, and are to be, authenticated and delivered, as amended and supplemented by the First Supplemental Indenture, dated as of July 14, 2014, the Second Supplemental Indenture, dated as of December 3, 2014, the Third Supplemental Indenture, dated as of April 30, 2015, the Fourth Supplemental Indenture, dated as of July 15, 2019, the Fifth Supplemental Indenture, dated as of November 20, 2019, the Sixth Supplemental Indenture, dated as of April 30, 2020, the Seventh Supplemental Indenture, dated as of December 10, 2020, the Eighth Supplemental Indenture, dated as of</w:t>
      </w:r>
    </w:p>
    <w:p>
      <w:pPr>
        <w:spacing w:after="0" w:line="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June 17, 2021, the Ninth Supplemental Indenture, dated as of October 12, 2021, the Tenth Supplemental Indenture, dated as of October 12, 2021, the Eleventh Supplemental Indenture, dated as of January 18, 2022, the Twelfth Supplemental Indenture, dated as of November 21, 2023, the Thirteenth Supplemental Indenture, dated as of June 6, 2024, and this Fourteenth Supplemental Indenture, relating to the Securities, dated as of November 20, 2024, by and between the Company and the Trustee (herein called the “</w:t>
      </w:r>
      <w:r>
        <w:rPr>
          <w:rFonts w:ascii="Times New Roman" w:cs="Times New Roman" w:eastAsia="Times New Roman" w:hAnsi="Times New Roman"/>
          <w:sz w:val="18"/>
          <w:szCs w:val="18"/>
          <w:u w:val="single" w:color="auto"/>
          <w:color w:val="auto"/>
        </w:rPr>
        <w:t>Fourteenth Supplemental Indenture</w:t>
      </w:r>
      <w:r>
        <w:rPr>
          <w:rFonts w:ascii="Times New Roman" w:cs="Times New Roman" w:eastAsia="Times New Roman" w:hAnsi="Times New Roman"/>
          <w:sz w:val="18"/>
          <w:szCs w:val="18"/>
          <w:color w:val="auto"/>
        </w:rPr>
        <w:t>”; and the Fourteenth Supplemental Indenture and the Base Indenture collectively are herein called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In the event of any conflict between the Base Indenture and the Fourteenth Supplemental Indenture, the Fourteenth Supplemental Indenture shall govern and control.</w:t>
      </w:r>
    </w:p>
    <w:p>
      <w:pPr>
        <w:spacing w:after="0" w:line="190"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This Security is one of the series designated on the face hereof, initially limited in aggregate principal amount to $600,000,000. Under a Board Resolution, Officers’ Certificate pursuant to Board Resolutions or an indenture supplement, the Company may from time to time, without the consent of the Holders of Securities, issue additional Securities of this series (in any such case “</w:t>
      </w:r>
      <w:r>
        <w:rPr>
          <w:rFonts w:ascii="Times New Roman" w:cs="Times New Roman" w:eastAsia="Times New Roman" w:hAnsi="Times New Roman"/>
          <w:sz w:val="18"/>
          <w:szCs w:val="18"/>
          <w:u w:val="single" w:color="auto"/>
          <w:color w:val="auto"/>
        </w:rPr>
        <w:t>Additional Securities</w:t>
      </w:r>
      <w:r>
        <w:rPr>
          <w:rFonts w:ascii="Times New Roman" w:cs="Times New Roman" w:eastAsia="Times New Roman" w:hAnsi="Times New Roman"/>
          <w:sz w:val="18"/>
          <w:szCs w:val="18"/>
          <w:color w:val="auto"/>
        </w:rPr>
        <w:t>”) having the same ranking and the same interest rate, maturity and other terms as the Securities, provided that, if such Additional Securities are not fungible with the Securities (or any other tranche of Additional Securities) for U.S. federal income tax purposes, then such Additional Securities will have different CUSIP numbers from the Securities represented hereby (and any such other tranche of Additional Securities). Any Additional Securities and the existing Securities will constitute a single series under the Indenture and all references to the relevant Securities herein shall include the Additional Securities unless the context otherwise requires. The aggregate amount of outstanding Securities represented hereby may from time to time be reduced or increased, as appropriate, to reflect exchanges and redemptions.</w:t>
      </w:r>
    </w:p>
    <w:p>
      <w:pPr>
        <w:spacing w:after="0" w:line="188"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Prior to December 15, 2029 (one month prior to their maturity date) (the “</w:t>
      </w:r>
      <w:r>
        <w:rPr>
          <w:rFonts w:ascii="Times New Roman" w:cs="Times New Roman" w:eastAsia="Times New Roman" w:hAnsi="Times New Roman"/>
          <w:sz w:val="18"/>
          <w:szCs w:val="18"/>
          <w:u w:val="single" w:color="auto"/>
          <w:color w:val="auto"/>
        </w:rPr>
        <w:t>Par Call Date</w:t>
      </w:r>
      <w:r>
        <w:rPr>
          <w:rFonts w:ascii="Times New Roman" w:cs="Times New Roman" w:eastAsia="Times New Roman" w:hAnsi="Times New Roman"/>
          <w:sz w:val="18"/>
          <w:szCs w:val="18"/>
          <w:color w:val="auto"/>
        </w:rPr>
        <w:t>”), the Company may redeem the Notes at its option, in whole or in part, at any time and from time to time, at a Redemption Price (expressed as a percentage of principal amount and rounded to three decimal places) equal to the greater of:</w:t>
      </w:r>
    </w:p>
    <w:p>
      <w:pPr>
        <w:spacing w:after="0" w:line="81" w:lineRule="exact"/>
        <w:rPr>
          <w:sz w:val="20"/>
          <w:szCs w:val="20"/>
          <w:color w:val="auto"/>
        </w:rPr>
      </w:pPr>
    </w:p>
    <w:p>
      <w:pPr>
        <w:jc w:val="both"/>
        <w:ind w:left="960" w:right="360" w:hanging="532"/>
        <w:spacing w:after="0" w:line="266"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sum of the present values of the remaining scheduled payments of principal and interest thereon discounted to the Redemption Date (assuming the Notes matured on the Par Call Date) on a semi-annual basis (assuming a 360-day year consisting of twelve 30-day months) at the Treasury Rate plus 30 basis points less (2) interest accrued to the Redemption Date, and</w:t>
      </w:r>
    </w:p>
    <w:p>
      <w:pPr>
        <w:spacing w:after="0" w:line="81"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of the principal amount of the Notes to be redeemed,</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plus, in either case, accrued and unpaid interest thereon to the Redemption Date.</w:t>
      </w:r>
    </w:p>
    <w:p>
      <w:pPr>
        <w:spacing w:after="0" w:line="225"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On or after the Par Call Date, the Company may redeem the Notes, in whole or in part, at any time and from time to time, at a Redemption Price equal to 100% of the principal amount of the Notes being redeemed plus accrued and unpaid interest thereon to the Redemption Date.</w:t>
      </w:r>
    </w:p>
    <w:p>
      <w:pPr>
        <w:spacing w:after="0" w:line="162" w:lineRule="exact"/>
        <w:rPr>
          <w:sz w:val="20"/>
          <w:szCs w:val="20"/>
          <w:color w:val="auto"/>
        </w:rPr>
      </w:pPr>
    </w:p>
    <w:p>
      <w:pPr>
        <w:ind w:right="180" w:firstLine="440"/>
        <w:spacing w:after="0" w:line="282" w:lineRule="auto"/>
        <w:rPr>
          <w:sz w:val="20"/>
          <w:szCs w:val="20"/>
          <w:color w:val="auto"/>
        </w:rPr>
      </w:pPr>
      <w:r>
        <w:rPr>
          <w:rFonts w:ascii="Times New Roman" w:cs="Times New Roman" w:eastAsia="Times New Roman" w:hAnsi="Times New Roman"/>
          <w:sz w:val="18"/>
          <w:szCs w:val="18"/>
          <w:color w:val="auto"/>
        </w:rPr>
        <w:t>For purposes of calculating the Redemption Price in connection with the redemption of the Notes, on any Redemption Date, the following terms have the meanings set forth below:</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000"/>
          </w:cols>
          <w:pgMar w:left="440" w:top="266" w:right="459" w:bottom="1440" w:gutter="0" w:footer="0" w:header="0"/>
        </w:sectPr>
      </w:pPr>
    </w:p>
    <w:bookmarkStart w:id="21" w:name="page22"/>
    <w:bookmarkEnd w:id="21"/>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Treasury Rate</w:t>
      </w:r>
      <w:r>
        <w:rPr>
          <w:rFonts w:ascii="Times New Roman" w:cs="Times New Roman" w:eastAsia="Times New Roman" w:hAnsi="Times New Roman"/>
          <w:sz w:val="18"/>
          <w:szCs w:val="18"/>
          <w:color w:val="auto"/>
        </w:rPr>
        <w:t>” means, with respect to any Redemption Date, the yield determined by the Company in accordance with the following two paragraphs.</w:t>
      </w:r>
    </w:p>
    <w:p>
      <w:pPr>
        <w:spacing w:after="0" w:line="162" w:lineRule="exact"/>
        <w:rPr>
          <w:sz w:val="20"/>
          <w:szCs w:val="20"/>
          <w:color w:val="auto"/>
        </w:rPr>
      </w:pPr>
    </w:p>
    <w:p>
      <w:pPr>
        <w:ind w:right="20" w:firstLine="440"/>
        <w:spacing w:after="0" w:line="253" w:lineRule="auto"/>
        <w:rPr>
          <w:sz w:val="20"/>
          <w:szCs w:val="20"/>
          <w:color w:val="auto"/>
        </w:rPr>
      </w:pPr>
      <w:r>
        <w:rPr>
          <w:rFonts w:ascii="Times New Roman" w:cs="Times New Roman" w:eastAsia="Times New Roman" w:hAnsi="Times New Roman"/>
          <w:sz w:val="18"/>
          <w:szCs w:val="18"/>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(Daily)—H.15” (or any successor designation or publication) (“H.15”) under the caption “U.S. government securities–Treasury constant maturities–Nominal” (or any successor caption or heading). In determining the 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18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If on the third business day preceding the Redemption Date H.15 or any successor designation or publication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Company’s actions and determinations in determining the Redemption Price shall be conclusive and binding for all purposes, absent manifest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error.</w:t>
      </w:r>
    </w:p>
    <w:p>
      <w:pPr>
        <w:spacing w:after="0" w:line="207" w:lineRule="exact"/>
        <w:rPr>
          <w:sz w:val="20"/>
          <w:szCs w:val="20"/>
          <w:color w:val="auto"/>
        </w:rPr>
      </w:pPr>
    </w:p>
    <w:p>
      <w:pPr>
        <w:ind w:right="100" w:firstLine="440"/>
        <w:spacing w:after="0" w:line="266" w:lineRule="auto"/>
        <w:rPr>
          <w:sz w:val="20"/>
          <w:szCs w:val="20"/>
          <w:color w:val="auto"/>
        </w:rPr>
      </w:pPr>
      <w:r>
        <w:rPr>
          <w:rFonts w:ascii="Times New Roman" w:cs="Times New Roman" w:eastAsia="Times New Roman" w:hAnsi="Times New Roman"/>
          <w:sz w:val="18"/>
          <w:szCs w:val="18"/>
          <w:color w:val="auto"/>
        </w:rPr>
        <w:t>Notice of redemption shall be given in writing and mailed, first-class postage prepaid or by overnight courier guaranteeing next-day delivery, to each Holder of the Securities to be redeemed, not less than ten (10) nor more than sixty (60) days prior to the Redemption Date, at the Holder’s address appearing in the Security Register. All notices of redemption shall contain the information set forth in Section 1104 of the Base Indenture.</w:t>
      </w:r>
    </w:p>
    <w:p>
      <w:pPr>
        <w:spacing w:after="0" w:line="176"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Any exercise of the Company’s option to redeem the Securities will be done in compliance with the Investment Company Act, to the extent applicable.</w:t>
      </w:r>
    </w:p>
    <w:p>
      <w:pPr>
        <w:spacing w:after="0" w:line="162" w:lineRule="exact"/>
        <w:rPr>
          <w:sz w:val="20"/>
          <w:szCs w:val="20"/>
          <w:color w:val="auto"/>
        </w:rPr>
      </w:pPr>
    </w:p>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If the Company elects to redeem only a portion of the Securities, the particular Securities to be redeemed will be selected in accordance with the applicable procedures of the Trustee and, so long as the Securities are registered to the Depositary or its nominee, the Depositary. In the event of redemption of this Security in part only, a new Security or Securities of this series and of like tenor for the unredeemed portion hereof will be issued in the name of the Holder hereof upon the cancellation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such partial redemption shall reduce the portion of the principal amount of a Security not redeemed to less than $2,000.</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1000"/>
          </w:cols>
          <w:pgMar w:left="440" w:top="270" w:right="459" w:bottom="1440" w:gutter="0" w:footer="0" w:header="0"/>
        </w:sectPr>
      </w:pPr>
    </w:p>
    <w:bookmarkStart w:id="22" w:name="page23"/>
    <w:bookmarkEnd w:id="22"/>
    <w:p>
      <w:pPr>
        <w:ind w:left="4" w:right="72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Unless the Company defaults in payment of the Redemption Price, on and after the Redemption Date, interest will cease to accrue on the Securities called for redemption.</w:t>
      </w:r>
    </w:p>
    <w:p>
      <w:pPr>
        <w:spacing w:after="0" w:line="162" w:lineRule="exact"/>
        <w:rPr>
          <w:sz w:val="20"/>
          <w:szCs w:val="20"/>
          <w:color w:val="auto"/>
        </w:rPr>
      </w:pPr>
    </w:p>
    <w:p>
      <w:pPr>
        <w:ind w:left="4" w:firstLine="440"/>
        <w:spacing w:after="0" w:line="282" w:lineRule="auto"/>
        <w:rPr>
          <w:sz w:val="20"/>
          <w:szCs w:val="20"/>
          <w:color w:val="auto"/>
        </w:rPr>
      </w:pPr>
      <w:r>
        <w:rPr>
          <w:rFonts w:ascii="Times New Roman" w:cs="Times New Roman" w:eastAsia="Times New Roman" w:hAnsi="Times New Roman"/>
          <w:sz w:val="18"/>
          <w:szCs w:val="18"/>
          <w:color w:val="auto"/>
        </w:rPr>
        <w:t>Holders will have the right to require the Company to repurchase their Securities upon the occurrence of a Change of Control Repurchase Event as set forth in the Indenture.</w:t>
      </w:r>
    </w:p>
    <w:p>
      <w:pPr>
        <w:spacing w:after="0" w:line="162" w:lineRule="exact"/>
        <w:rPr>
          <w:sz w:val="20"/>
          <w:szCs w:val="20"/>
          <w:color w:val="auto"/>
        </w:rPr>
      </w:pPr>
    </w:p>
    <w:p>
      <w:pPr>
        <w:ind w:left="4" w:right="40" w:firstLine="440"/>
        <w:spacing w:after="0" w:line="282" w:lineRule="auto"/>
        <w:rPr>
          <w:sz w:val="20"/>
          <w:szCs w:val="20"/>
          <w:color w:val="auto"/>
        </w:rPr>
      </w:pPr>
      <w:r>
        <w:rPr>
          <w:rFonts w:ascii="Times New Roman" w:cs="Times New Roman" w:eastAsia="Times New Roman" w:hAnsi="Times New Roman"/>
          <w:sz w:val="18"/>
          <w:szCs w:val="18"/>
          <w:color w:val="auto"/>
        </w:rPr>
        <w:t>The Indenture contains provisions for defeasance at any time of the entire indebtedness of this Security or certain restrictive covenants and Events of Default with respect to this Security, in each case upon compliance with certain conditions set forth in the Indenture.</w:t>
      </w:r>
    </w:p>
    <w:p>
      <w:pPr>
        <w:spacing w:after="0" w:line="162" w:lineRule="exact"/>
        <w:rPr>
          <w:sz w:val="20"/>
          <w:szCs w:val="20"/>
          <w:color w:val="auto"/>
        </w:rPr>
      </w:pPr>
    </w:p>
    <w:p>
      <w:pPr>
        <w:ind w:left="4" w:firstLine="440"/>
        <w:spacing w:after="0" w:line="261" w:lineRule="auto"/>
        <w:rPr>
          <w:sz w:val="20"/>
          <w:szCs w:val="20"/>
          <w:color w:val="auto"/>
        </w:rPr>
      </w:pPr>
      <w:r>
        <w:rPr>
          <w:rFonts w:ascii="Times New Roman" w:cs="Times New Roman" w:eastAsia="Times New Roman" w:hAnsi="Times New Roman"/>
          <w:sz w:val="18"/>
          <w:szCs w:val="18"/>
          <w:color w:val="auto"/>
        </w:rPr>
        <w:t>If an Event of Default with respect to Securities of this series shall occur and be continuing (other than Events of Default related to certain events of bankruptcy, insolvency or reorganization as set forth in the Indenture), the principal of the Securities of this series may be declared due and payable in the manner and with the effect provided in the Indenture. In the case of certain events of bankruptcy, insolvency or reorganization described in the Indenture, 100% of the principal of and accrued and unpaid interest on the Securities will automatically become due and payable.</w:t>
      </w:r>
    </w:p>
    <w:p>
      <w:pPr>
        <w:spacing w:after="0" w:line="180"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not less than a majority in principal amount of the Securities at the time Outstanding of each series to be affected. The Indenture also contains provisions permitting the Holders of specified percentages in principal amount of the Securities of each series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192" w:lineRule="exact"/>
        <w:rPr>
          <w:sz w:val="20"/>
          <w:szCs w:val="20"/>
          <w:color w:val="auto"/>
        </w:rPr>
      </w:pPr>
    </w:p>
    <w:p>
      <w:pPr>
        <w:ind w:left="4" w:firstLine="440"/>
        <w:spacing w:after="0" w:line="268" w:lineRule="auto"/>
        <w:rPr>
          <w:sz w:val="20"/>
          <w:szCs w:val="20"/>
          <w:color w:val="auto"/>
        </w:rPr>
      </w:pPr>
      <w:r>
        <w:rPr>
          <w:rFonts w:ascii="Times New Roman" w:cs="Times New Roman" w:eastAsia="Times New Roman" w:hAnsi="Times New Roman"/>
          <w:sz w:val="17"/>
          <w:szCs w:val="17"/>
          <w:color w:val="auto"/>
        </w:rPr>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25% in principal amount of the Securities of this series at the time Outstanding shall have made written request to the Trustee to institute proceedings in respect of such Event of Default as Trustee and offered the Trustee indemnity, security, or both, satisfactory to the Trustee, against the costs, expenses and liabilities to be incurred in compliance with such request, and the Trustee shall not have received from the Holders of a majority in principal amount of Securities of this series at the time Outstanding a direction inconsistent with such request, and shall have failed to institute any such proceeding, for sixty</w:t>
      </w:r>
    </w:p>
    <w:p>
      <w:pPr>
        <w:spacing w:after="0" w:line="2" w:lineRule="exact"/>
        <w:rPr>
          <w:sz w:val="20"/>
          <w:szCs w:val="20"/>
          <w:color w:val="auto"/>
        </w:rPr>
      </w:pPr>
    </w:p>
    <w:p>
      <w:pPr>
        <w:ind w:left="4" w:right="20" w:hanging="4"/>
        <w:spacing w:after="0" w:line="255" w:lineRule="auto"/>
        <w:tabs>
          <w:tab w:leader="none" w:pos="349"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after receipt of such notice, request and offer of indemnity and/or security. The foregoing shall not apply to any suit instituted by the Holder of this Security for the enforcement of any payment of principal hereof or any premium or interest hereon on or after the respective due dates expressed herein.</w:t>
      </w:r>
    </w:p>
    <w:p>
      <w:pPr>
        <w:spacing w:after="0" w:line="186" w:lineRule="exact"/>
        <w:rPr>
          <w:sz w:val="20"/>
          <w:szCs w:val="20"/>
          <w:color w:val="auto"/>
        </w:rPr>
      </w:pPr>
    </w:p>
    <w:p>
      <w:pPr>
        <w:ind w:left="4" w:right="60" w:firstLine="440"/>
        <w:spacing w:after="0" w:line="266" w:lineRule="auto"/>
        <w:rPr>
          <w:sz w:val="20"/>
          <w:szCs w:val="20"/>
          <w:color w:val="auto"/>
        </w:rPr>
      </w:pPr>
      <w:r>
        <w:rPr>
          <w:rFonts w:ascii="Times New Roman" w:cs="Times New Roman" w:eastAsia="Times New Roman" w:hAnsi="Times New Roman"/>
          <w:sz w:val="18"/>
          <w:szCs w:val="18"/>
          <w:color w:val="auto"/>
        </w:rPr>
        <w:t>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w:t>
      </w:r>
    </w:p>
    <w:p>
      <w:pPr>
        <w:spacing w:after="0" w:line="176" w:lineRule="exact"/>
        <w:rPr>
          <w:sz w:val="20"/>
          <w:szCs w:val="20"/>
          <w:color w:val="auto"/>
        </w:rPr>
      </w:pPr>
    </w:p>
    <w:p>
      <w:pPr>
        <w:ind w:left="4" w:right="120" w:firstLine="440"/>
        <w:spacing w:after="0" w:line="256" w:lineRule="auto"/>
        <w:rPr>
          <w:sz w:val="20"/>
          <w:szCs w:val="20"/>
          <w:color w:val="auto"/>
        </w:rPr>
      </w:pPr>
      <w:r>
        <w:rPr>
          <w:rFonts w:ascii="Times New Roman" w:cs="Times New Roman" w:eastAsia="Times New Roman" w:hAnsi="Times New Roman"/>
          <w:sz w:val="18"/>
          <w:szCs w:val="18"/>
          <w:color w:val="auto"/>
        </w:rPr>
        <w:t>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A-6</w:t>
      </w:r>
    </w:p>
    <w:p>
      <w:pPr>
        <w:sectPr>
          <w:pgSz w:w="11900" w:h="16838" w:orient="portrait"/>
          <w:cols w:equalWidth="0" w:num="1">
            <w:col w:w="11004"/>
          </w:cols>
          <w:pgMar w:left="436" w:top="270" w:right="459" w:bottom="1440" w:gutter="0" w:footer="0" w:header="0"/>
        </w:sectPr>
      </w:pPr>
    </w:p>
    <w:bookmarkStart w:id="23" w:name="page24"/>
    <w:bookmarkEnd w:id="23"/>
    <w:p>
      <w:pPr>
        <w:ind w:firstLine="44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Securities of this series are issuable only in registered form without coupons in denominations of $2,000 and any integral multiples of $1,000 in excess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spacing w:after="0" w:line="180" w:lineRule="exact"/>
        <w:rPr>
          <w:sz w:val="20"/>
          <w:szCs w:val="20"/>
          <w:color w:val="auto"/>
        </w:rPr>
      </w:pPr>
    </w:p>
    <w:p>
      <w:pPr>
        <w:ind w:right="320" w:firstLine="440"/>
        <w:spacing w:after="0" w:line="282" w:lineRule="auto"/>
        <w:rPr>
          <w:sz w:val="20"/>
          <w:szCs w:val="20"/>
          <w:color w:val="auto"/>
        </w:rPr>
      </w:pPr>
      <w:r>
        <w:rPr>
          <w:rFonts w:ascii="Times New Roman" w:cs="Times New Roman" w:eastAsia="Times New Roman" w:hAnsi="Times New Roman"/>
          <w:sz w:val="18"/>
          <w:szCs w:val="18"/>
          <w:color w:val="auto"/>
        </w:rPr>
        <w:t>No service charge shall be made for any such registration of transfer or exchange, but the Company or Trustee may require payment of a sum sufficient to cover any tax or other governmental charge payable in connection therewith.</w:t>
      </w:r>
    </w:p>
    <w:p>
      <w:pPr>
        <w:spacing w:after="0" w:line="162" w:lineRule="exact"/>
        <w:rPr>
          <w:sz w:val="20"/>
          <w:szCs w:val="20"/>
          <w:color w:val="auto"/>
        </w:rPr>
      </w:pPr>
    </w:p>
    <w:p>
      <w:pPr>
        <w:jc w:val="both"/>
        <w:ind w:right="120" w:firstLine="440"/>
        <w:spacing w:after="0" w:line="266" w:lineRule="auto"/>
        <w:rPr>
          <w:sz w:val="20"/>
          <w:szCs w:val="20"/>
          <w:color w:val="auto"/>
        </w:rPr>
      </w:pPr>
      <w:r>
        <w:rPr>
          <w:rFonts w:ascii="Times New Roman" w:cs="Times New Roman" w:eastAsia="Times New Roman" w:hAnsi="Times New Roman"/>
          <w:sz w:val="18"/>
          <w:szCs w:val="18"/>
          <w:color w:val="auto"/>
        </w:rPr>
        <w:t>Prior to due presentment of this Security for registration of transfer, the Company, the Trustee and any agent of the Company or the Trustee may treat the Person in whose name this Security is registered as the owner hereof for all purposes, whether or not this Security be overdue, and neither the Company, the Trustee nor any such agent shall be affected by notice to the contrary.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All terms used in this Security which are defined in the Indenture shall have the meanings assigned to them in the Indenture.</w:t>
      </w:r>
    </w:p>
    <w:p>
      <w:pPr>
        <w:spacing w:after="0" w:line="22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To the extent any provision of this Security conflicts with the express provisions of the Indenture, the provisions of the Indenture shall govern and be controlling.</w:t>
      </w:r>
    </w:p>
    <w:p>
      <w:pPr>
        <w:spacing w:after="0" w:line="162" w:lineRule="exact"/>
        <w:rPr>
          <w:sz w:val="20"/>
          <w:szCs w:val="20"/>
          <w:color w:val="auto"/>
        </w:rPr>
      </w:pPr>
    </w:p>
    <w:p>
      <w:pPr>
        <w:ind w:right="440" w:firstLine="440"/>
        <w:spacing w:after="0" w:line="282" w:lineRule="auto"/>
        <w:rPr>
          <w:sz w:val="20"/>
          <w:szCs w:val="20"/>
          <w:color w:val="auto"/>
        </w:rPr>
      </w:pPr>
      <w:r>
        <w:rPr>
          <w:rFonts w:ascii="Times New Roman" w:cs="Times New Roman" w:eastAsia="Times New Roman" w:hAnsi="Times New Roman"/>
          <w:sz w:val="18"/>
          <w:szCs w:val="18"/>
          <w:color w:val="auto"/>
        </w:rPr>
        <w:t>The Indenture and this Security shall be governed by and construed in accordance with the laws of the State of New York, without regard to principles of conflicts of laws.</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A-7</w:t>
      </w:r>
    </w:p>
    <w:p>
      <w:pPr>
        <w:sectPr>
          <w:pgSz w:w="11900" w:h="16838" w:orient="portrait"/>
          <w:cols w:equalWidth="0" w:num="1">
            <w:col w:w="10940"/>
          </w:cols>
          <w:pgMar w:left="440" w:top="270" w:right="519"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17"/>
          <w:szCs w:val="17"/>
          <w:b w:val="1"/>
          <w:bCs w:val="1"/>
          <w:color w:val="auto"/>
        </w:rPr>
        <w:t>Exhibit 5.1</w:t>
      </w:r>
    </w:p>
    <w:p>
      <w:pPr>
        <w:sectPr>
          <w:pgSz w:w="11900" w:h="16838" w:orient="portrait"/>
          <w:cols w:equalWidth="0" w:num="1">
            <w:col w:w="11024"/>
          </w:cols>
          <w:pgMar w:left="436" w:top="117" w:right="439" w:bottom="1440" w:gutter="0" w:footer="0" w:header="0"/>
        </w:sectPr>
      </w:pPr>
    </w:p>
    <w:p>
      <w:pPr>
        <w:spacing w:after="0" w:line="268" w:lineRule="exact"/>
        <w:rPr>
          <w:sz w:val="20"/>
          <w:szCs w:val="20"/>
          <w:color w:val="auto"/>
        </w:rPr>
      </w:pPr>
    </w:p>
    <w:p>
      <w:pPr>
        <w:ind w:left="3984"/>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1036955" cy="3600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036955" cy="3600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Cira Centre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2929 Arch Street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Philadelphia, PA 19104-2808</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+1 215 994 4000 Main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+1 215 994 2222 Fax</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www.dechert.com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142875</wp:posOffset>
            </wp:positionV>
            <wp:extent cx="216027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4024" w:space="140"/>
            <w:col w:w="2740" w:space="720"/>
            <w:col w:w="3400"/>
          </w:cols>
          <w:pgMar w:left="436" w:top="117" w:right="439" w:bottom="1440" w:gutter="0" w:footer="0" w:header="0"/>
          <w:type w:val="continuous"/>
        </w:sectPr>
      </w:pPr>
    </w:p>
    <w:p>
      <w:pPr>
        <w:spacing w:after="0" w:line="25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November 20, 2024</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FS KKR Capital Corp.</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201 Rouse Boulevard</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Philadelphia, PA 19112</w:t>
      </w:r>
    </w:p>
    <w:p>
      <w:pPr>
        <w:spacing w:after="0" w:line="20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Re: Registration Statement on Form N-2</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left="4" w:right="20"/>
        <w:spacing w:after="0" w:line="270" w:lineRule="auto"/>
        <w:rPr>
          <w:sz w:val="20"/>
          <w:szCs w:val="20"/>
          <w:color w:val="auto"/>
        </w:rPr>
      </w:pPr>
      <w:r>
        <w:rPr>
          <w:rFonts w:ascii="Times New Roman" w:cs="Times New Roman" w:eastAsia="Times New Roman" w:hAnsi="Times New Roman"/>
          <w:sz w:val="17"/>
          <w:szCs w:val="17"/>
          <w:color w:val="auto"/>
        </w:rPr>
        <w:t>We have acted as special counsel to FS KKR Capital Corp., a Maryland corporation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in connection with the preparation and filing of a Registration Statement on Form N-2, filed on September 19, 2024 with the U.S. Securities and Exchange Commission (the “</w:t>
      </w:r>
      <w:r>
        <w:rPr>
          <w:rFonts w:ascii="Times New Roman" w:cs="Times New Roman" w:eastAsia="Times New Roman" w:hAnsi="Times New Roman"/>
          <w:sz w:val="17"/>
          <w:szCs w:val="17"/>
          <w:u w:val="single" w:color="auto"/>
          <w:color w:val="auto"/>
        </w:rPr>
        <w:t>Commission</w:t>
      </w:r>
      <w:r>
        <w:rPr>
          <w:rFonts w:ascii="Times New Roman" w:cs="Times New Roman" w:eastAsia="Times New Roman" w:hAnsi="Times New Roman"/>
          <w:sz w:val="17"/>
          <w:szCs w:val="17"/>
          <w:color w:val="auto"/>
        </w:rPr>
        <w:t>”) under the Securities Act of 1933, as amended (the “</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u w:val="single" w:color="auto"/>
          <w:color w:val="auto"/>
        </w:rPr>
        <w:t>Registration Statement</w:t>
      </w:r>
      <w:r>
        <w:rPr>
          <w:rFonts w:ascii="Times New Roman" w:cs="Times New Roman" w:eastAsia="Times New Roman" w:hAnsi="Times New Roman"/>
          <w:sz w:val="17"/>
          <w:szCs w:val="17"/>
          <w:color w:val="auto"/>
        </w:rPr>
        <w:t>”) and the final prospectus supplement, dated November 13, 2024 (including the base prospectus filed therewith, the “</w:t>
      </w:r>
      <w:r>
        <w:rPr>
          <w:rFonts w:ascii="Times New Roman" w:cs="Times New Roman" w:eastAsia="Times New Roman" w:hAnsi="Times New Roman"/>
          <w:sz w:val="17"/>
          <w:szCs w:val="17"/>
          <w:u w:val="single" w:color="auto"/>
          <w:color w:val="auto"/>
        </w:rPr>
        <w:t>Prospectus Supplement</w:t>
      </w:r>
      <w:r>
        <w:rPr>
          <w:rFonts w:ascii="Times New Roman" w:cs="Times New Roman" w:eastAsia="Times New Roman" w:hAnsi="Times New Roman"/>
          <w:sz w:val="17"/>
          <w:szCs w:val="17"/>
          <w:color w:val="auto"/>
        </w:rPr>
        <w:t>”), filed with the Commission on November 15, 2024 pursuant to Rule 424(b)</w:t>
      </w:r>
    </w:p>
    <w:p>
      <w:pPr>
        <w:spacing w:after="0" w:line="3" w:lineRule="exact"/>
        <w:rPr>
          <w:sz w:val="20"/>
          <w:szCs w:val="20"/>
          <w:color w:val="auto"/>
        </w:rPr>
      </w:pPr>
    </w:p>
    <w:p>
      <w:pPr>
        <w:ind w:left="4" w:right="40" w:hanging="4"/>
        <w:spacing w:after="0" w:line="253" w:lineRule="auto"/>
        <w:tabs>
          <w:tab w:leader="none" w:pos="259"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the Securities Act, relating to the proposed issuance by the Company of $600 million aggregate principal amount of its 6.125% notes due 2030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to be sold to the underwriters pursuant to an underwriting agreement substantially in the form filed as Exhibit 1.1 to the Company’s Current Report on Form 8-K filed with the Commission on November 15, 2024 (the “</w:t>
      </w:r>
      <w:r>
        <w:rPr>
          <w:rFonts w:ascii="Times New Roman" w:cs="Times New Roman" w:eastAsia="Times New Roman" w:hAnsi="Times New Roman"/>
          <w:sz w:val="18"/>
          <w:szCs w:val="18"/>
          <w:u w:val="single" w:color="auto"/>
          <w:color w:val="auto"/>
        </w:rPr>
        <w:t>Underwriting Agreement</w:t>
      </w:r>
      <w:r>
        <w:rPr>
          <w:rFonts w:ascii="Times New Roman" w:cs="Times New Roman" w:eastAsia="Times New Roman" w:hAnsi="Times New Roman"/>
          <w:sz w:val="18"/>
          <w:szCs w:val="18"/>
          <w:color w:val="auto"/>
        </w:rPr>
        <w:t>”). This opinion letter is being furnished to the Company in accordance with the requirements of Item 25 of Form N-2 under the Investment Company Act of 1940, as amended, and we express no opinion herein as to any matter other than as to the legality of the Notes.</w:t>
      </w:r>
    </w:p>
    <w:p>
      <w:pPr>
        <w:spacing w:after="0" w:line="187" w:lineRule="exact"/>
        <w:rPr>
          <w:sz w:val="20"/>
          <w:szCs w:val="20"/>
          <w:color w:val="auto"/>
        </w:rPr>
      </w:pPr>
    </w:p>
    <w:p>
      <w:pPr>
        <w:ind w:left="4" w:right="80"/>
        <w:spacing w:after="0" w:line="254" w:lineRule="auto"/>
        <w:rPr>
          <w:sz w:val="20"/>
          <w:szCs w:val="20"/>
          <w:color w:val="auto"/>
        </w:rPr>
      </w:pPr>
      <w:r>
        <w:rPr>
          <w:rFonts w:ascii="Times New Roman" w:cs="Times New Roman" w:eastAsia="Times New Roman" w:hAnsi="Times New Roman"/>
          <w:sz w:val="18"/>
          <w:szCs w:val="18"/>
          <w:color w:val="auto"/>
        </w:rPr>
        <w:t>The Notes are to be issued pursuant to the indenture dated as of July 14, 2014 (the “</w:t>
      </w:r>
      <w:r>
        <w:rPr>
          <w:rFonts w:ascii="Times New Roman" w:cs="Times New Roman" w:eastAsia="Times New Roman" w:hAnsi="Times New Roman"/>
          <w:sz w:val="18"/>
          <w:szCs w:val="18"/>
          <w:u w:val="single" w:color="auto"/>
          <w:color w:val="auto"/>
        </w:rPr>
        <w:t>Base Indenture</w:t>
      </w:r>
      <w:r>
        <w:rPr>
          <w:rFonts w:ascii="Times New Roman" w:cs="Times New Roman" w:eastAsia="Times New Roman" w:hAnsi="Times New Roman"/>
          <w:sz w:val="18"/>
          <w:szCs w:val="18"/>
          <w:color w:val="auto"/>
        </w:rPr>
        <w:t>”), between the Company and U.S. Bank National Association, as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as supplemented by the first supplemental indenture dated as of July 14, 2014, by the second supplemental indenture dated as of December 3, 2014, by the third supplemental indenture dated as of April 30, 2015, by the fourth supplemental indenture dated as of July 15, 2019, by the fifth supplemental indenture dated as of November 20, 2019, by the sixth supplemental indenture dated as of April 30, 2020, by the seventh supplemental indenture dated as of December 10, 2020, by the eighth supplemental indenture dated as of June 17, 2021, by the ninth supplemental indenture dated as of October 12, 2021, by the tenth supplemental indenture dated as of October 12, 2021, by the eleventh supplemental indenture dated as of January 18, 2022, by the twelfth supplemental indenture dated as of November 21, 2023, by the thirteenth supplemental indenture dated as of June 6, 2024 and by the fourteenth supplemental indenture dated as of November 20, 2024 (together with the Base Indenture,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between the Company and the Trustee.</w:t>
      </w:r>
    </w:p>
    <w:p>
      <w:pPr>
        <w:spacing w:after="0" w:line="188" w:lineRule="exact"/>
        <w:rPr>
          <w:sz w:val="20"/>
          <w:szCs w:val="20"/>
          <w:color w:val="auto"/>
        </w:rPr>
      </w:pPr>
    </w:p>
    <w:p>
      <w:pPr>
        <w:ind w:left="4" w:right="180"/>
        <w:spacing w:after="0" w:line="261" w:lineRule="auto"/>
        <w:rPr>
          <w:sz w:val="20"/>
          <w:szCs w:val="20"/>
          <w:color w:val="auto"/>
        </w:rPr>
      </w:pPr>
      <w:r>
        <w:rPr>
          <w:rFonts w:ascii="Times New Roman" w:cs="Times New Roman" w:eastAsia="Times New Roman" w:hAnsi="Times New Roman"/>
          <w:sz w:val="18"/>
          <w:szCs w:val="18"/>
          <w:color w:val="auto"/>
        </w:rPr>
        <w:t>In rendering the opinions expressed below, we have examined and relied on originals or copies, certified or otherwise identified to our satisfaction, of such documents, corporate records and other instruments and such agreements, certificates and receipts of public officials, certificates of officers or other representatives of the Company and others, and such other documents as we have deemed necessary or appropriate as a basis for the opinions set forth below, including the following documents:</w:t>
      </w:r>
    </w:p>
    <w:p>
      <w:pPr>
        <w:sectPr>
          <w:pgSz w:w="11900" w:h="16838" w:orient="portrait"/>
          <w:cols w:equalWidth="0" w:num="1">
            <w:col w:w="11024"/>
          </w:cols>
          <w:pgMar w:left="436" w:top="117" w:right="439" w:bottom="1440" w:gutter="0" w:footer="0" w:header="0"/>
          <w:type w:val="continuous"/>
        </w:sectPr>
      </w:pPr>
    </w:p>
    <w:bookmarkStart w:id="25" w:name="page26"/>
    <w:bookmarkEnd w:id="25"/>
    <w:p>
      <w:pPr>
        <w:ind w:left="4080"/>
        <w:spacing w:after="0"/>
        <w:rPr>
          <w:sz w:val="20"/>
          <w:szCs w:val="20"/>
          <w:color w:val="auto"/>
        </w:rPr>
      </w:pPr>
      <w:r>
        <w:rPr>
          <w:rFonts w:ascii="Times New Roman" w:cs="Times New Roman" w:eastAsia="Times New Roman" w:hAnsi="Times New Roman"/>
          <w:sz w:val="6"/>
          <w:szCs w:val="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1036955" cy="3600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036955" cy="3600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6"/>
          <w:szCs w:val="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-125730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FS KKR Capital Corp.</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20,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153" w:lineRule="exact"/>
        <w:rPr>
          <w:sz w:val="20"/>
          <w:szCs w:val="20"/>
          <w:color w:val="auto"/>
        </w:rPr>
      </w:pPr>
    </w:p>
    <w:p>
      <w:pPr>
        <w:sectPr>
          <w:pgSz w:w="11900" w:h="16838" w:orient="portrait"/>
          <w:cols w:equalWidth="0" w:num="3">
            <w:col w:w="4140" w:space="120"/>
            <w:col w:w="2840" w:space="720"/>
            <w:col w:w="3160"/>
          </w:cols>
          <w:pgMar w:left="440" w:top="270" w:right="479" w:bottom="1440" w:gutter="0" w:footer="0" w:header="0"/>
        </w:sectPr>
      </w:pPr>
    </w:p>
    <w:p>
      <w:pPr>
        <w:ind w:left="960" w:hanging="532"/>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Prospectus Supplement;</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Underwriting Agreement;</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Indenture;</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specimen copy of the form of the Notes to be issued pursuant to the Indenture;</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Second Articles of Amendment and Restatement of the Company, as amended;</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Third Amended and Restated Bylaws of the Company;</w:t>
      </w:r>
    </w:p>
    <w:p>
      <w:pPr>
        <w:spacing w:after="0" w:line="130" w:lineRule="exact"/>
        <w:rPr>
          <w:rFonts w:ascii="Times New Roman" w:cs="Times New Roman" w:eastAsia="Times New Roman" w:hAnsi="Times New Roman"/>
          <w:sz w:val="18"/>
          <w:szCs w:val="18"/>
          <w:color w:val="auto"/>
        </w:rPr>
      </w:pPr>
    </w:p>
    <w:p>
      <w:pPr>
        <w:ind w:left="960" w:right="60" w:hanging="532"/>
        <w:spacing w:after="0" w:line="282"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of good standing with respect to the Company issued by the State Department of Assessments and Taxation of Maryland as of a recent date; and</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resolutions of the board of directors of the Company, relating to, among other things, the authorization and issuance of the Notes.</w:t>
      </w:r>
    </w:p>
    <w:p>
      <w:pPr>
        <w:spacing w:after="0" w:line="225"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As to the facts upon which this opinion is based, we have relied upon certificates of public officials and certificates and written statements of agents, officers, directors and representatives of the Company without having independently verified such factual matters.</w:t>
      </w:r>
    </w:p>
    <w:p>
      <w:pPr>
        <w:spacing w:after="0" w:line="162"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our examination, we have assumed the genuineness of all signatures, the authenticity of all documents submitted to us as original documents, the conformity to original documents of all documents submitted to us as copies, the legal capacity of natural persons who are signatories to the documents examined by us and the legal power and authority of all persons signing on behalf of the parties to such documents.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the basis of the foregoing and subject to the assumptions, qualifications and limitations set forth in this letter, we are of the opinion that:</w:t>
      </w:r>
    </w:p>
    <w:p>
      <w:pPr>
        <w:spacing w:after="0" w:line="131" w:lineRule="exact"/>
        <w:rPr>
          <w:sz w:val="20"/>
          <w:szCs w:val="20"/>
          <w:color w:val="auto"/>
        </w:rPr>
      </w:pPr>
    </w:p>
    <w:p>
      <w:pPr>
        <w:ind w:left="960" w:hanging="532"/>
        <w:spacing w:after="0" w:line="282"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Indenture constitutes the valid and legally binding obligation of the Company, enforceable against the Company in accordance with its terms.</w:t>
      </w:r>
    </w:p>
    <w:p>
      <w:pPr>
        <w:spacing w:after="0" w:line="67" w:lineRule="exact"/>
        <w:rPr>
          <w:rFonts w:ascii="Times New Roman" w:cs="Times New Roman" w:eastAsia="Times New Roman" w:hAnsi="Times New Roman"/>
          <w:sz w:val="18"/>
          <w:szCs w:val="18"/>
          <w:color w:val="auto"/>
        </w:rPr>
      </w:pPr>
    </w:p>
    <w:p>
      <w:pPr>
        <w:jc w:val="both"/>
        <w:ind w:left="960" w:right="100" w:hanging="532"/>
        <w:spacing w:after="0" w:line="266"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duly executed by the Company and authenticated by the Trustee in accordance with the terms of the Indenture and delivered to the underwriter against payment therefor in accordance with the terms of the Underwriting Agreement, the Notes will constitute the legal and binding obligations of the Company, enforceable against the Company in accordance with their terms.</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opinions set forth herein are subject to the following assumptions, qualifications, limitations and exceptions being true and correct at or before the time of the Notes:</w:t>
      </w:r>
    </w:p>
    <w:p>
      <w:pPr>
        <w:spacing w:after="0" w:line="67" w:lineRule="exact"/>
        <w:rPr>
          <w:sz w:val="20"/>
          <w:szCs w:val="20"/>
          <w:color w:val="auto"/>
        </w:rPr>
      </w:pPr>
    </w:p>
    <w:p>
      <w:pPr>
        <w:ind w:left="960" w:hanging="532"/>
        <w:spacing w:after="0"/>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duly incorporated and validly existing in good standing under the laws of the State of Maryland;</w:t>
      </w:r>
    </w:p>
    <w:p>
      <w:pPr>
        <w:sectPr>
          <w:pgSz w:w="11900" w:h="16838" w:orient="portrait"/>
          <w:cols w:equalWidth="0" w:num="1">
            <w:col w:w="10980"/>
          </w:cols>
          <w:pgMar w:left="440" w:top="270" w:right="479" w:bottom="1440" w:gutter="0" w:footer="0" w:header="0"/>
          <w:type w:val="continuous"/>
        </w:sectPr>
      </w:pPr>
    </w:p>
    <w:bookmarkStart w:id="26" w:name="page27"/>
    <w:bookmarkEnd w:id="26"/>
    <w:p>
      <w:pPr>
        <w:ind w:left="4084"/>
        <w:spacing w:after="0"/>
        <w:rPr>
          <w:sz w:val="20"/>
          <w:szCs w:val="20"/>
          <w:color w:val="auto"/>
        </w:rPr>
      </w:pPr>
      <w:r>
        <w:rPr>
          <w:rFonts w:ascii="Times New Roman" w:cs="Times New Roman" w:eastAsia="Times New Roman" w:hAnsi="Times New Roman"/>
          <w:sz w:val="6"/>
          <w:szCs w:val="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-31750</wp:posOffset>
            </wp:positionV>
            <wp:extent cx="1036955" cy="3600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036955" cy="3600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6"/>
          <w:szCs w:val="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-2788285</wp:posOffset>
            </wp:positionH>
            <wp:positionV relativeFrom="paragraph">
              <wp:posOffset>-125730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FS KKR Capital Corp.</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20,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w:t>
      </w:r>
    </w:p>
    <w:p>
      <w:pPr>
        <w:spacing w:after="0" w:line="153" w:lineRule="exact"/>
        <w:rPr>
          <w:sz w:val="20"/>
          <w:szCs w:val="20"/>
          <w:color w:val="auto"/>
        </w:rPr>
      </w:pPr>
    </w:p>
    <w:p>
      <w:pPr>
        <w:sectPr>
          <w:pgSz w:w="11900" w:h="16838" w:orient="portrait"/>
          <w:cols w:equalWidth="0" w:num="3">
            <w:col w:w="4144" w:space="120"/>
            <w:col w:w="2840" w:space="720"/>
            <w:col w:w="3180"/>
          </w:cols>
          <w:pgMar w:left="436" w:top="270" w:right="459" w:bottom="1440" w:gutter="0" w:footer="0" w:header="0"/>
        </w:sectPr>
      </w:pPr>
    </w:p>
    <w:p>
      <w:pPr>
        <w:ind w:left="964" w:hanging="532"/>
        <w:spacing w:after="0"/>
        <w:tabs>
          <w:tab w:leader="none" w:pos="96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Indenture and the Notes have been duly authorized, executed and delivered by each party thereto (other than the Company);</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terms of the Notes have been duly established and approved by all necessary corporate action on the part of the Company;</w:t>
      </w:r>
    </w:p>
    <w:p>
      <w:pPr>
        <w:spacing w:after="0" w:line="130" w:lineRule="exact"/>
        <w:rPr>
          <w:rFonts w:ascii="Times New Roman" w:cs="Times New Roman" w:eastAsia="Times New Roman" w:hAnsi="Times New Roman"/>
          <w:sz w:val="18"/>
          <w:szCs w:val="18"/>
          <w:color w:val="auto"/>
        </w:rPr>
      </w:pPr>
    </w:p>
    <w:p>
      <w:pPr>
        <w:ind w:left="964" w:hanging="532"/>
        <w:spacing w:after="0"/>
        <w:tabs>
          <w:tab w:leader="none" w:pos="96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Notes as established comply with the requirements of the Investment Company Act of 1940, as amended; and</w:t>
      </w:r>
    </w:p>
    <w:p>
      <w:pPr>
        <w:spacing w:after="0" w:line="130" w:lineRule="exact"/>
        <w:rPr>
          <w:rFonts w:ascii="Times New Roman" w:cs="Times New Roman" w:eastAsia="Times New Roman" w:hAnsi="Times New Roman"/>
          <w:sz w:val="18"/>
          <w:szCs w:val="18"/>
          <w:color w:val="auto"/>
        </w:rPr>
      </w:pPr>
    </w:p>
    <w:p>
      <w:pPr>
        <w:ind w:left="964" w:hanging="532"/>
        <w:spacing w:after="0" w:line="282" w:lineRule="auto"/>
        <w:tabs>
          <w:tab w:leader="none" w:pos="96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Notes have been duly executed by the Company and authenticated by the Trustee in accordance with the Indenture and delivered to and paid for by the purchasers thereof.</w:t>
      </w:r>
    </w:p>
    <w:p>
      <w:pPr>
        <w:spacing w:after="0" w:line="162" w:lineRule="exact"/>
        <w:rPr>
          <w:sz w:val="20"/>
          <w:szCs w:val="20"/>
          <w:color w:val="auto"/>
        </w:rPr>
      </w:pPr>
    </w:p>
    <w:p>
      <w:pPr>
        <w:ind w:left="4" w:right="20"/>
        <w:spacing w:after="0" w:line="254" w:lineRule="auto"/>
        <w:rPr>
          <w:sz w:val="20"/>
          <w:szCs w:val="20"/>
          <w:color w:val="auto"/>
        </w:rPr>
      </w:pPr>
      <w:r>
        <w:rPr>
          <w:rFonts w:ascii="Times New Roman" w:cs="Times New Roman" w:eastAsia="Times New Roman" w:hAnsi="Times New Roman"/>
          <w:sz w:val="18"/>
          <w:szCs w:val="18"/>
          <w:color w:val="auto"/>
        </w:rPr>
        <w:t>The opinions set forth herein as to enforceability of obligations of the Company are subject to: (i) bankruptcy, insolvency, reorganization, fraudulent conveyance, moratorium or similar laws now or hereinafter in effect affecting the enforcement of creditors’ rights generally, and by general principles of equity (regardless of whether enforcement is sought in a proceeding in equity or at law) and the discretion of the court or other body before which any proceeding may be brought; (ii) the unenforceability under certain circumstances under law or court decisions of provisions providing for the indemnification of, or contribution to, a party with respect to a liability where such indemnification or contribution is contrary to public policy;</w:t>
      </w:r>
    </w:p>
    <w:p>
      <w:pPr>
        <w:spacing w:after="0" w:line="3" w:lineRule="exact"/>
        <w:rPr>
          <w:sz w:val="20"/>
          <w:szCs w:val="20"/>
          <w:color w:val="auto"/>
        </w:rPr>
      </w:pPr>
    </w:p>
    <w:p>
      <w:pPr>
        <w:ind w:left="324" w:hanging="324"/>
        <w:spacing w:after="0"/>
        <w:tabs>
          <w:tab w:leader="none" w:pos="324"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of law which may require that a judgment for money damages rendered by a court in the United States be expressed only in U.S. dollars;</w:t>
      </w:r>
    </w:p>
    <w:p>
      <w:pPr>
        <w:spacing w:after="0" w:line="9" w:lineRule="exact"/>
        <w:rPr>
          <w:rFonts w:ascii="Times New Roman" w:cs="Times New Roman" w:eastAsia="Times New Roman" w:hAnsi="Times New Roman"/>
          <w:sz w:val="18"/>
          <w:szCs w:val="18"/>
          <w:color w:val="auto"/>
        </w:rPr>
      </w:pPr>
    </w:p>
    <w:p>
      <w:pPr>
        <w:ind w:left="4" w:right="160" w:hanging="4"/>
        <w:spacing w:after="0" w:line="265" w:lineRule="auto"/>
        <w:tabs>
          <w:tab w:leader="none" w:pos="309"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requirements that a claim with respect to any debt securities denominated other than in U.S. dollars (or a judgment denominated other than in U.S. dollars in respect of such claim) be converted into U.S. dollars at a rate of exchange prevailing on a date determined pursuant to applicable law; and</w:t>
      </w:r>
    </w:p>
    <w:p>
      <w:pPr>
        <w:ind w:left="4" w:right="140" w:hanging="4"/>
        <w:spacing w:after="0" w:line="252" w:lineRule="auto"/>
        <w:tabs>
          <w:tab w:leader="none" w:pos="259"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governmental authority to limit, delay or prohibit the making of payments outside the United States or in foreign currency or composite currency. We express no opinion as to the validity, legally binding effect or enforceability of any provision in any agreement or instrument that (i) requires or relates to payment of any interest at a rate or in an amount which a court may determine in the circumstances under applicable law to be commercially unreasonable or a penalty or forfeiture or (ii) relates to governing law and submission by the parties to the jurisdiction of one or more particular courts. The opinions set forth in this opinion letter are given in reliance on the opinion letter of Miles &amp; Stockbridge P.C., special Maryland counsel to the Company, dated as of the date hereof.</w:t>
      </w:r>
    </w:p>
    <w:p>
      <w:pPr>
        <w:spacing w:after="0" w:line="19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opinions expressed herein are limited to the laws of the State of New York.</w:t>
      </w:r>
    </w:p>
    <w:p>
      <w:pPr>
        <w:spacing w:after="0" w:line="225" w:lineRule="exact"/>
        <w:rPr>
          <w:sz w:val="20"/>
          <w:szCs w:val="20"/>
          <w:color w:val="auto"/>
        </w:rPr>
      </w:pPr>
    </w:p>
    <w:p>
      <w:pPr>
        <w:ind w:left="4" w:right="200"/>
        <w:spacing w:after="0" w:line="282" w:lineRule="auto"/>
        <w:rPr>
          <w:sz w:val="20"/>
          <w:szCs w:val="20"/>
          <w:color w:val="auto"/>
        </w:rPr>
      </w:pPr>
      <w:r>
        <w:rPr>
          <w:rFonts w:ascii="Times New Roman" w:cs="Times New Roman" w:eastAsia="Times New Roman" w:hAnsi="Times New Roman"/>
          <w:sz w:val="18"/>
          <w:szCs w:val="18"/>
          <w:color w:val="auto"/>
        </w:rPr>
        <w:t>This opinion letter has been prepared for your use solely in connection with the Registration Statement. We assume no obligation to advise you of any changes in the foregoing subsequent to the date of this opinion.</w:t>
      </w:r>
    </w:p>
    <w:p>
      <w:pPr>
        <w:spacing w:after="0" w:line="162" w:lineRule="exact"/>
        <w:rPr>
          <w:sz w:val="20"/>
          <w:szCs w:val="20"/>
          <w:color w:val="auto"/>
        </w:rPr>
      </w:pPr>
    </w:p>
    <w:p>
      <w:pPr>
        <w:ind w:left="4" w:right="20"/>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Company’s Current Report on Form 8-K filed with the Commission on November 20, 2024 and to the reference to this firm under the caption “Legal Matters” in the Registration Statement and the Prospectus Supplement. In giving such consent, we do not thereby admit that we are in the category of persons whose consent is required under Section 7 of the Securities Act or the rules and regulations of the Commission thereunder.</w:t>
      </w:r>
    </w:p>
    <w:p>
      <w:pPr>
        <w:sectPr>
          <w:pgSz w:w="11900" w:h="16838" w:orient="portrait"/>
          <w:cols w:equalWidth="0" w:num="1">
            <w:col w:w="11004"/>
          </w:cols>
          <w:pgMar w:left="436" w:top="270" w:right="459" w:bottom="1440" w:gutter="0" w:footer="0" w:header="0"/>
          <w:type w:val="continuous"/>
        </w:sectPr>
      </w:pPr>
    </w:p>
    <w:bookmarkStart w:id="27" w:name="page28"/>
    <w:bookmarkEnd w:id="27"/>
    <w:p>
      <w:pPr>
        <w:ind w:left="40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-119380</wp:posOffset>
            </wp:positionV>
            <wp:extent cx="1036955" cy="3600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36955" cy="3600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FS KKR Capital Corp.</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20,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w:t>
      </w:r>
    </w:p>
    <w:p>
      <w:pPr>
        <w:spacing w:after="0" w:line="153" w:lineRule="exact"/>
        <w:rPr>
          <w:sz w:val="20"/>
          <w:szCs w:val="20"/>
          <w:color w:val="auto"/>
        </w:rPr>
      </w:pPr>
    </w:p>
    <w:p>
      <w:pPr>
        <w:sectPr>
          <w:pgSz w:w="11900" w:h="16838" w:orient="portrait"/>
          <w:cols w:equalWidth="0" w:num="2">
            <w:col w:w="7100" w:space="720"/>
            <w:col w:w="2199"/>
          </w:cols>
          <w:pgMar w:left="440" w:top="270" w:right="1440" w:bottom="1440" w:gutter="0" w:footer="0" w:header="0"/>
        </w:sectPr>
      </w:pPr>
    </w:p>
    <w:p>
      <w:pPr>
        <w:spacing w:after="0"/>
        <w:rPr>
          <w:sz w:val="20"/>
          <w:szCs w:val="20"/>
          <w:color w:val="auto"/>
        </w:rPr>
      </w:pPr>
      <w:r>
        <w:rPr>
          <w:rFonts w:ascii="Times New Roman" w:cs="Times New Roman" w:eastAsia="Times New Roman" w:hAnsi="Times New Roman"/>
          <w:sz w:val="17"/>
          <w:szCs w:val="17"/>
          <w:color w:val="auto"/>
        </w:rPr>
        <w:t>Very truly yours,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Dechert LLP</w:t>
      </w:r>
    </w:p>
    <w:p>
      <w:pPr>
        <w:sectPr>
          <w:pgSz w:w="11900" w:h="16838" w:orient="portrait"/>
          <w:cols w:equalWidth="0" w:num="1">
            <w:col w:w="10019"/>
          </w:cols>
          <w:pgMar w:left="440" w:top="270" w:right="1440" w:bottom="1440" w:gutter="0" w:footer="0" w:header="0"/>
          <w:type w:val="continuous"/>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979930" cy="4972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97993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20, 2024</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FS KKR Capital Corp.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201 Rouse Boulevard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 19112-1902</w:t>
      </w:r>
    </w:p>
    <w:p>
      <w:pPr>
        <w:spacing w:after="0" w:line="234"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color w:val="auto"/>
        </w:rPr>
        <w:t>Re:</w:t>
      </w:r>
      <w:r>
        <w:rPr>
          <w:sz w:val="20"/>
          <w:szCs w:val="20"/>
          <w:color w:val="auto"/>
        </w:rPr>
        <w:tab/>
      </w:r>
      <w:r>
        <w:rPr>
          <w:rFonts w:ascii="Times New Roman" w:cs="Times New Roman" w:eastAsia="Times New Roman" w:hAnsi="Times New Roman"/>
          <w:sz w:val="17"/>
          <w:szCs w:val="17"/>
          <w:u w:val="single" w:color="auto"/>
          <w:color w:val="auto"/>
        </w:rPr>
        <w:t>Registration Statement on Form N-2 (File No. 333-282226)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We have acted as special Maryland counsel to FS KKR Capital Corp., a Maryland corporation (the “Company”) and a business development company under the Investment Company Act of 1940, as amended, in connection with the issuance and sale of $600,000,000 aggregate principal amount of its 6.125% Notes due 2030 (the “Notes”), as covered by the Company’s Registration Statement on Form N-2 (File No. 333-282226) (together with all amendments and supplements thereto, the “Registration Statement”), filed with the Securities and Exchange Commission (the “Commission”) under the Securities Act of 1933, as amended (the “Securities Act”).</w:t>
      </w:r>
    </w:p>
    <w:p>
      <w:pPr>
        <w:spacing w:after="0" w:line="183"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We have examined (i) the Registration Statement, except that we have not examined the documents incorporated by reference therein or otherwise deemed to be part thereof or included therein, (ii) the Underwriting Agreement, dated November 13, 2024 (the “Underwriting Agreement”), among the Company and FS/KKR Advisor, LLC, a Delaware limited liability company, BofA Securities, Inc., BMO Capital Markets Corp, J.P. Morgan Securities LLC, KKR Capital Markets LLC, SMBC Nikko Securities America, Inc. and Truist Securities, Inc., as representatives of the underwriters named therein, pursuant to which the Notes are being issued and sold, (iii) the Indenture, dated as of July 14, 2014, between the Company and U.S. Bank National Association, as Trustee (the “Trustee”), together with the Fourteenth Supplemental Indenture thereto, dated as of November 20, 2024 ( the “Indenture”), (iv) the charter and the bylaws of the Company, (v) certain records of proceedings of the board of directors of the Company with respect to the issuance and sale of the Notes and the transactions contemplated by the Underwriting Agreement and (vi) such other corporate records, certificates and documents as we deemed necessary for the purpose of this opinion letter.</w:t>
      </w:r>
    </w:p>
    <w:p>
      <w:pPr>
        <w:spacing w:after="0" w:line="188"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In giving the opinions set forth herein, we have made the following assumptions: (i) all documents submitted to us as originals are authentic, (ii) all documents submitted to us as copies conform to the original documents, (iii) all signatures on all documents submitted to us for examination are genuine (whether manual, electronic or otherwise) and, to the extent that a signature on a document is manifested by electronic or similar means, such signature has been executed or adopted by a signatory with an intent to authenticate and sign the document, (iv) all natural persons who executed any of the documents that were reviewed by us had legal capacity at the time of such execution and (v) all public records reviewed by us or on our behalf are accurate and complete. We have relied as to certain factual matters on information obtained from public officials and from officers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889000</wp:posOffset>
            </wp:positionH>
            <wp:positionV relativeFrom="paragraph">
              <wp:posOffset>147955</wp:posOffset>
            </wp:positionV>
            <wp:extent cx="5220335" cy="3346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220335" cy="334645"/>
                    </a:xfrm>
                    <a:prstGeom prst="rect">
                      <a:avLst/>
                    </a:prstGeom>
                    <a:noFill/>
                  </pic:spPr>
                </pic:pic>
              </a:graphicData>
            </a:graphic>
          </wp:anchor>
        </w:drawing>
      </w:r>
    </w:p>
    <w:p>
      <w:pPr>
        <w:sectPr>
          <w:pgSz w:w="11900" w:h="16838" w:orient="portrait"/>
          <w:cols w:equalWidth="0" w:num="1">
            <w:col w:w="11020"/>
          </w:cols>
          <w:pgMar w:left="440" w:top="117" w:right="4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FS KKR Capital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4266565</wp:posOffset>
            </wp:positionH>
            <wp:positionV relativeFrom="paragraph">
              <wp:posOffset>-119380</wp:posOffset>
            </wp:positionV>
            <wp:extent cx="1979930" cy="4972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979930" cy="49720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November 20, 2024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w:t>
      </w:r>
    </w:p>
    <w:p>
      <w:pPr>
        <w:spacing w:after="0" w:line="274"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Based on that examination, it is our opinion that the Company has the corporate power to execute, deliver and perform its obligations under the Indenture and to issue the Notes and that the execution and delivery by the Company of the Indenture, the performance of its obligations thereunder and the issuance of the Notes have been duly authorized by the Company.</w:t>
      </w:r>
    </w:p>
    <w:p>
      <w:pPr>
        <w:spacing w:after="0" w:line="176" w:lineRule="exact"/>
        <w:rPr>
          <w:sz w:val="20"/>
          <w:szCs w:val="20"/>
          <w:color w:val="auto"/>
        </w:rPr>
      </w:pPr>
    </w:p>
    <w:p>
      <w:pPr>
        <w:ind w:right="100"/>
        <w:spacing w:after="0" w:line="258" w:lineRule="auto"/>
        <w:rPr>
          <w:sz w:val="20"/>
          <w:szCs w:val="20"/>
          <w:color w:val="auto"/>
        </w:rPr>
      </w:pPr>
      <w:r>
        <w:rPr>
          <w:rFonts w:ascii="Times New Roman" w:cs="Times New Roman" w:eastAsia="Times New Roman" w:hAnsi="Times New Roman"/>
          <w:sz w:val="18"/>
          <w:szCs w:val="18"/>
          <w:color w:val="auto"/>
        </w:rPr>
        <w:t>We express no opinion as to the laws of any state or jurisdiction other than, and our opinions expressed herein are limited to, the laws of the State of Maryland, except that we express no opinion with respect to the “blue sky” or other securities laws or regulations of the State of Maryland or any other jurisdiction. The opinions expressed herein are limited to the matters set forth in this letter and no other opinion should be inferred beyond the matters expressly stated. This letter and the opinions expressed herein are being furnished by us to you solely for your benefit and may not be relied on, used, circulated, quoted from or otherwise referred to by any other person or for any other purpose without our prior written consent.</w:t>
      </w:r>
    </w:p>
    <w:p>
      <w:pPr>
        <w:spacing w:after="0" w:line="183"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We hereby consent to the filing of this opinion as an exhibit to the Company’s Current Report on Form 8-K filed with the Commission on November 20, 2024 and to the use of our name under the caption “Legal Matters” in the prospectus forming a part of the Registration Statement. In giving our consent, we do not thereby admit that we are in the category of persons whose consent is required under Section 7 of the Securities Act or the rules and regulations of the Commission thereunder.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Miles &amp; Stockbridge P.C.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J.W. Thompson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17145</wp:posOffset>
            </wp:positionV>
            <wp:extent cx="256286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Principal</w:t>
      </w:r>
    </w:p>
    <w:p>
      <w:pPr>
        <w:sectPr>
          <w:pgSz w:w="11900" w:h="16838" w:orient="portrait"/>
          <w:cols w:equalWidth="0" w:num="1">
            <w:col w:w="10980"/>
          </w:cols>
          <w:pgMar w:left="440" w:top="270" w:right="47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1891665</wp:posOffset>
            </wp:positionH>
            <wp:positionV relativeFrom="paragraph">
              <wp:posOffset>173990</wp:posOffset>
            </wp:positionV>
            <wp:extent cx="3206115" cy="4800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0611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IMMEDIATE RELEASE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FSK Completes Public Offering of $600 million 6.125% Unsecured Notes Due 2030</w:t>
      </w:r>
    </w:p>
    <w:p>
      <w:pPr>
        <w:spacing w:after="0" w:line="229"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7"/>
          <w:szCs w:val="17"/>
          <w:color w:val="auto"/>
        </w:rPr>
        <w:t>PHILADELPHIA, PA and NEW YORK, NY – November 20, 2024 – FS KKR Capital Corp. (NYSE: FSK) today announced that it has completed its previously announced offering of $600 million in aggregate principal amount of its 6.125% unsecured notes due 2030 (the “Notes”). BofA Securities, Inc., BMO Capital Markets Corp., J.P. Morgan Securities LLC, KKR Capital Markets LLC, SMBC Nikko Securities America, Inc., Truist Securities, Inc., HSBC Securities (USA) Inc., ING Financial Markets LLC, Mizuho Securities USA LLC, MUFG Securities Americas Inc., RBC Capital Markets, LLC and TD Securities (USA) LLC are acting as joint book-running managers for this offering. Barclays Capital Inc., BNP Paribas Securities Corp., Citigroup Global Markets Inc., Deutsche Bank Securities Inc., Goldman Sachs &amp; Co. LLC, Morgan Stanley &amp; Co. LLC and SG Americas Securities, LLC are acting as joint lead managers for this offering. B. Riley Securities, Inc., Compass Point Research &amp; Trading, LLC, ICBC Standard Bank Plc, Keefe, Bruyette &amp; Woods, Inc., R. Seelaus &amp; Co., LLC and U.S. Bancorp Investments, Inc. are acting as co-managers for this offering.</w:t>
      </w:r>
    </w:p>
    <w:p>
      <w:pPr>
        <w:spacing w:after="0" w:line="172"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FSK intends to use the net proceeds of this offering for general corporate purposes, including potentially repaying outstanding indebtedness under credit facilities and certain notes.</w:t>
      </w:r>
    </w:p>
    <w:p>
      <w:pPr>
        <w:spacing w:after="0" w:line="16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This announcement does not constitute an offer to sell or a solicitation of an offer to buy any of the Notes, nor shall there be any offer, solicitation or sale in any state or jurisdiction in which such an offer, solicitation or sale would be unlawful.</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FS KKR Capital Corp.</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FSK is a leading publicly traded business development company (BDC) focused on providing customized credit solutions to private middle market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companies. FSK seeks to invest primarily in the senior secured debt and, to a lesser extent, the subordinated debt of private middle market companies.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FSK is advised by FS/KKR Advisor, LLC.</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FS/KKR Advisor, LLC</w:t>
      </w:r>
    </w:p>
    <w:p>
      <w:pPr>
        <w:spacing w:after="0" w:line="121"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FS/KKR Advisor, LLC (FS/KKR) is a partnership between FS Investments and KKR Credit that serves as the investment adviser to FSK and other business development companies.</w:t>
      </w:r>
    </w:p>
    <w:p>
      <w:pPr>
        <w:spacing w:after="0" w:line="162" w:lineRule="exact"/>
        <w:rPr>
          <w:sz w:val="20"/>
          <w:szCs w:val="20"/>
          <w:color w:val="auto"/>
        </w:rPr>
      </w:pPr>
    </w:p>
    <w:p>
      <w:pPr>
        <w:ind w:right="60"/>
        <w:spacing w:after="0" w:line="274" w:lineRule="auto"/>
        <w:rPr>
          <w:sz w:val="20"/>
          <w:szCs w:val="20"/>
          <w:color w:val="auto"/>
        </w:rPr>
      </w:pPr>
      <w:r>
        <w:rPr>
          <w:rFonts w:ascii="Times New Roman" w:cs="Times New Roman" w:eastAsia="Times New Roman" w:hAnsi="Times New Roman"/>
          <w:sz w:val="17"/>
          <w:szCs w:val="17"/>
          <w:color w:val="auto"/>
        </w:rPr>
        <w:t>FS Investments is a global alternative asset manager dedicated to delivering superior performance and innovative investment and capital solutions. The firm manages over $82 billion in assets for a wide range of clients, including institutional investors, financial professionals and individual investors. FS Investments provides access to a broad suite of alternative asset classes and strategies through its best-in-class investment teams and partners. With its diversified platform and flexible capital solutions, the firm is a valued partner to general partners, asset owners and portfolio companies. FS Investments is grounded in its high-performance culture and guided by its commitment to building value for its clients, investing in its colleagues and giving back to its communities. The firm has more than 500 employees across offices in the U.S., Europe and Asia and is headquartered in Philadelphia.</w:t>
      </w:r>
    </w:p>
    <w:p>
      <w:pPr>
        <w:spacing w:after="0" w:line="17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KKR is a leading global investment firm that offers alternative asset management as well as capital markets and insurance solutions. KKR aims to generate attractive investment returns by following a patient and disciplined investment approach, employing world-class people, and supporting growth in its portfolio companies and communities. KKR sponsors investment funds that invest in private equity, credit and real assets and has strategic partners that manage hedge funds. KKR’s insurance subsidiaries offer retirement, life and reinsurance products under the management of Global Atlantic Financial Group. References to KKR’s investments may include the activities of its sponsored funds and insurance subsidiaries.</w:t>
      </w:r>
    </w:p>
    <w:p>
      <w:pPr>
        <w:sectPr>
          <w:pgSz w:w="11900" w:h="16838" w:orient="portrait"/>
          <w:cols w:equalWidth="0" w:num="1">
            <w:col w:w="11020"/>
          </w:cols>
          <w:pgMar w:left="440" w:top="117" w:right="4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Forward-Looking Statements and Important Disclosure Notice</w:t>
      </w:r>
    </w:p>
    <w:p>
      <w:pPr>
        <w:spacing w:after="0" w:line="121" w:lineRule="exact"/>
        <w:rPr>
          <w:sz w:val="20"/>
          <w:szCs w:val="20"/>
          <w:color w:val="auto"/>
        </w:rPr>
      </w:pPr>
    </w:p>
    <w:p>
      <w:pPr>
        <w:ind w:right="160"/>
        <w:spacing w:after="0" w:line="254" w:lineRule="auto"/>
        <w:rPr>
          <w:sz w:val="20"/>
          <w:szCs w:val="20"/>
          <w:color w:val="auto"/>
        </w:rPr>
      </w:pPr>
      <w:r>
        <w:rPr>
          <w:rFonts w:ascii="Times New Roman" w:cs="Times New Roman" w:eastAsia="Times New Roman" w:hAnsi="Times New Roman"/>
          <w:sz w:val="18"/>
          <w:szCs w:val="18"/>
          <w:color w:val="auto"/>
        </w:rPr>
        <w:t>This announcement may contain certain forward-looking statements, including statements with regard to future events or future performance or operations of FSK. Words such as “believes,” “expects,” “projects,” and “future” or similar expressions are intended to identify forward-looking statements. These forward-looking statements are subject to the inherent uncertainties in predicting future results and conditions. Certain factors could cause actual results to differ materially from those projected in these forward-looking statements. Factors that could cause actual results to differ materially include changes in the economy, risks associated with possible disruption in FSK’s operations or the economy generally due to</w:t>
      </w:r>
    </w:p>
    <w:p>
      <w:pPr>
        <w:spacing w:after="0" w:line="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terrorism, geo-political risks, natural disasters or pandemics such as COVID-19, future changes in laws or regulations and conditions in FSK’s operating area and the price at which shares of FSK’s common stock trade on the New York Stock Exchange. Some of these factors are enumerated in the filings FSK makes with the SEC. FSK undertakes no obligation to update or revise any forward-looking statements, whether as a result of new information, future events or otherwise.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 Information: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Anna Kleinhenn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Anna.Kleinhenn@fsinvestments.com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FS Investments Media Team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Melanie Hemmert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Melanie.Hemmert@fsinvestments.com</w:t>
      </w:r>
    </w:p>
    <w:sectPr>
      <w:pgSz w:w="11900" w:h="16838" w:orient="portrait"/>
      <w:cols w:equalWidth="0" w:num="1">
        <w:col w:w="10980"/>
      </w:cols>
      <w:pgMar w:left="440" w:top="26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DB127F8"/>
    <w:multiLevelType w:val="hybridMultilevel"/>
    <w:lvl w:ilvl="0">
      <w:lvlJc w:val="left"/>
      <w:lvlText w:val="☐"/>
      <w:numFmt w:val="bullet"/>
      <w:start w:val="1"/>
    </w:lvl>
  </w:abstractNum>
  <w:abstractNum w:abstractNumId="1">
    <w:nsid w:val="216231B"/>
    <w:multiLevelType w:val="hybridMultilevel"/>
    <w:lvl w:ilvl="0">
      <w:lvlJc w:val="left"/>
      <w:lvlText w:val="(%1)"/>
      <w:numFmt w:val="lowerLetter"/>
      <w:start w:val="1"/>
    </w:lvl>
    <w:lvl w:ilvl="1">
      <w:lvlJc w:val="left"/>
      <w:lvlText w:val="-"/>
      <w:numFmt w:val="bullet"/>
      <w:start w:val="1"/>
    </w:lvl>
  </w:abstractNum>
  <w:abstractNum w:abstractNumId="2">
    <w:nsid w:val="1F16E9E8"/>
    <w:multiLevelType w:val="hybridMultilevel"/>
    <w:lvl w:ilvl="0">
      <w:lvlJc w:val="left"/>
      <w:lvlText w:val="(%1)"/>
      <w:numFmt w:val="lowerLetter"/>
      <w:start w:val="5"/>
    </w:lvl>
    <w:lvl w:ilvl="1">
      <w:lvlJc w:val="left"/>
      <w:lvlText w:val="(%2)"/>
      <w:numFmt w:val="lowerRoman"/>
      <w:start w:val="1"/>
    </w:lvl>
    <w:lvl w:ilvl="2">
      <w:lvlJc w:val="left"/>
      <w:lvlText w:val="(%3)"/>
      <w:numFmt w:val="upperLetter"/>
      <w:start w:val="1"/>
    </w:lvl>
  </w:abstractNum>
  <w:abstractNum w:abstractNumId="3">
    <w:nsid w:val="1190CDE7"/>
    <w:multiLevelType w:val="hybridMultilevel"/>
    <w:lvl w:ilvl="0">
      <w:lvlJc w:val="left"/>
      <w:lvlText w:val="(%1)"/>
      <w:numFmt w:val="lowerRoman"/>
      <w:start w:val="2"/>
    </w:lvl>
  </w:abstractNum>
  <w:abstractNum w:abstractNumId="4">
    <w:nsid w:val="66EF438D"/>
    <w:multiLevelType w:val="hybridMultilevel"/>
    <w:lvl w:ilvl="0">
      <w:lvlJc w:val="left"/>
      <w:lvlText w:val="%1"/>
      <w:numFmt w:val="lowerLetter"/>
      <w:start w:val="1"/>
    </w:lvl>
    <w:lvl w:ilvl="1">
      <w:lvlJc w:val="left"/>
      <w:lvlText w:val="(%2)"/>
      <w:numFmt w:val="lowerRoman"/>
      <w:start w:val="2"/>
    </w:lvl>
    <w:lvl w:ilvl="2">
      <w:lvlJc w:val="left"/>
      <w:lvlText w:val="-"/>
      <w:numFmt w:val="bullet"/>
      <w:start w:val="1"/>
    </w:lvl>
  </w:abstractNum>
  <w:abstractNum w:abstractNumId="5">
    <w:nsid w:val="140E0F76"/>
    <w:multiLevelType w:val="hybridMultilevel"/>
    <w:lvl w:ilvl="0">
      <w:lvlJc w:val="left"/>
      <w:lvlText w:val="(%1)"/>
      <w:numFmt w:val="lowerLetter"/>
      <w:start w:val="9"/>
    </w:lvl>
    <w:lvl w:ilvl="1">
      <w:lvlJc w:val="left"/>
      <w:lvlText w:val="%2"/>
      <w:numFmt w:val="lowerRoman"/>
      <w:start w:val="1"/>
    </w:lvl>
    <w:lvl w:ilvl="2">
      <w:lvlJc w:val="left"/>
      <w:lvlText w:val="-"/>
      <w:numFmt w:val="bullet"/>
      <w:start w:val="1"/>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lowerLetter"/>
      <w:start w:val="1"/>
    </w:lvl>
  </w:abstractNum>
  <w:abstractNum w:abstractNumId="8">
    <w:nsid w:val="DED7263"/>
    <w:multiLevelType w:val="hybridMultilevel"/>
    <w:lvl w:ilvl="0">
      <w:lvlJc w:val="left"/>
      <w:lvlText w:val="(%1)"/>
      <w:numFmt w:val="lowerRoman"/>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lowerRoman"/>
      <w:start w:val="1"/>
    </w:lvl>
  </w:abstractNum>
  <w:abstractNum w:abstractNumId="12">
    <w:nsid w:val="6B68079A"/>
    <w:multiLevelType w:val="hybridMultilevel"/>
    <w:lvl w:ilvl="0">
      <w:lvlJc w:val="left"/>
      <w:lvlText w:val="(%1)"/>
      <w:numFmt w:val="decimal"/>
      <w:start w:val="60"/>
    </w:lvl>
  </w:abstractNum>
  <w:abstractNum w:abstractNumId="13">
    <w:nsid w:val="4E6AFB66"/>
    <w:multiLevelType w:val="hybridMultilevel"/>
    <w:lvl w:ilvl="0">
      <w:lvlJc w:val="left"/>
      <w:lvlText w:val="(%1)"/>
      <w:numFmt w:val="decimal"/>
      <w:start w:val="2"/>
    </w:lvl>
  </w:abstractNum>
  <w:abstractNum w:abstractNumId="14">
    <w:nsid w:val="25E45D32"/>
    <w:multiLevelType w:val="hybridMultilevel"/>
    <w:lvl w:ilvl="0">
      <w:lvlJc w:val="left"/>
      <w:lvlText w:val="(%1)"/>
      <w:numFmt w:val="lowerRoman"/>
      <w:start w:val="1"/>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1)"/>
      <w:numFmt w:val="lowerRoman"/>
      <w:start w:val="1"/>
    </w:lvl>
  </w:abstractNum>
  <w:abstractNum w:abstractNumId="17">
    <w:nsid w:val="3F2DBA31"/>
    <w:multiLevelType w:val="hybridMultilevel"/>
    <w:lvl w:ilvl="0">
      <w:lvlJc w:val="left"/>
      <w:lvlText w:val="(%1)"/>
      <w:numFmt w:val="lowerRoman"/>
      <w:start w:val="2"/>
    </w:lvl>
  </w:abstractNum>
  <w:abstractNum w:abstractNumId="18">
    <w:nsid w:val="7C83E458"/>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2024-11-20T15:52:27Z</dcterms:created>
  <dcterms:modified xsi:type="dcterms:W3CDTF">2024-11-20T15:52:27Z</dcterms:modified>
</cp:coreProperties>
</file>